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ACFB" w14:textId="77777777" w:rsidR="007B633A" w:rsidRPr="005F6D82" w:rsidRDefault="00EE16B6" w:rsidP="000028FF">
      <w:pPr>
        <w:spacing w:line="340" w:lineRule="exact"/>
        <w:jc w:val="center"/>
        <w:rPr>
          <w:rFonts w:ascii="Arial" w:hAnsi="Arial" w:cs="Arial"/>
          <w:sz w:val="18"/>
          <w:szCs w:val="18"/>
        </w:rPr>
      </w:pPr>
      <w:proofErr w:type="spellStart"/>
      <w:r w:rsidRPr="005F6D82">
        <w:rPr>
          <w:rFonts w:ascii="Arial" w:hAnsi="Arial" w:cs="Arial"/>
          <w:sz w:val="18"/>
          <w:szCs w:val="18"/>
        </w:rPr>
        <w:t>Bluejay</w:t>
      </w:r>
      <w:proofErr w:type="spellEnd"/>
      <w:r w:rsidRPr="005F6D82">
        <w:rPr>
          <w:rFonts w:ascii="Arial" w:hAnsi="Arial" w:cs="Arial"/>
          <w:sz w:val="18"/>
          <w:szCs w:val="18"/>
        </w:rPr>
        <w:t xml:space="preserve"> </w:t>
      </w:r>
      <w:r w:rsidR="00DC3D22" w:rsidRPr="005F6D82">
        <w:rPr>
          <w:rFonts w:ascii="Arial" w:hAnsi="Arial" w:cs="Arial"/>
          <w:sz w:val="18"/>
          <w:szCs w:val="18"/>
        </w:rPr>
        <w:t>Mining</w:t>
      </w:r>
      <w:r w:rsidR="007B633A" w:rsidRPr="005F6D82">
        <w:rPr>
          <w:rFonts w:ascii="Arial" w:hAnsi="Arial" w:cs="Arial"/>
          <w:sz w:val="18"/>
          <w:szCs w:val="18"/>
        </w:rPr>
        <w:t xml:space="preserve"> plc / EPIC: </w:t>
      </w:r>
      <w:r w:rsidRPr="005F6D82">
        <w:rPr>
          <w:rFonts w:ascii="Arial" w:hAnsi="Arial" w:cs="Arial"/>
          <w:sz w:val="18"/>
          <w:szCs w:val="18"/>
        </w:rPr>
        <w:t xml:space="preserve">JAY </w:t>
      </w:r>
      <w:r w:rsidR="007B633A" w:rsidRPr="005F6D82">
        <w:rPr>
          <w:rFonts w:ascii="Arial" w:hAnsi="Arial" w:cs="Arial"/>
          <w:sz w:val="18"/>
          <w:szCs w:val="18"/>
        </w:rPr>
        <w:t xml:space="preserve">/ Market: AIM / Sector: </w:t>
      </w:r>
      <w:r w:rsidR="005A3CE8" w:rsidRPr="005F6D82">
        <w:rPr>
          <w:rFonts w:ascii="Arial" w:hAnsi="Arial" w:cs="Arial"/>
          <w:sz w:val="18"/>
          <w:szCs w:val="18"/>
        </w:rPr>
        <w:t>Mining</w:t>
      </w:r>
    </w:p>
    <w:p w14:paraId="1832D701" w14:textId="48FDE1B6" w:rsidR="00A304E9" w:rsidRPr="005F6D82" w:rsidRDefault="00B275A7" w:rsidP="000028FF">
      <w:pPr>
        <w:tabs>
          <w:tab w:val="right" w:pos="9878"/>
        </w:tabs>
        <w:suppressAutoHyphens/>
        <w:spacing w:line="340" w:lineRule="exact"/>
        <w:rPr>
          <w:rFonts w:ascii="Arial" w:hAnsi="Arial" w:cs="Arial"/>
          <w:sz w:val="18"/>
          <w:szCs w:val="18"/>
        </w:rPr>
      </w:pPr>
      <w:r w:rsidRPr="00C77D28">
        <w:rPr>
          <w:rFonts w:ascii="Arial" w:hAnsi="Arial" w:cs="Arial"/>
          <w:sz w:val="18"/>
          <w:szCs w:val="18"/>
        </w:rPr>
        <w:t>2</w:t>
      </w:r>
      <w:r w:rsidR="0051151D" w:rsidRPr="00C77D28">
        <w:rPr>
          <w:rFonts w:ascii="Arial" w:hAnsi="Arial" w:cs="Arial"/>
          <w:sz w:val="18"/>
          <w:szCs w:val="18"/>
        </w:rPr>
        <w:t>2</w:t>
      </w:r>
      <w:r w:rsidRPr="00C77D28">
        <w:rPr>
          <w:rFonts w:ascii="Arial" w:hAnsi="Arial" w:cs="Arial"/>
          <w:sz w:val="18"/>
          <w:szCs w:val="18"/>
        </w:rPr>
        <w:t xml:space="preserve"> September </w:t>
      </w:r>
      <w:r w:rsidR="00822E2C" w:rsidRPr="00C77D28">
        <w:rPr>
          <w:rFonts w:ascii="Arial" w:hAnsi="Arial" w:cs="Arial"/>
          <w:sz w:val="18"/>
          <w:szCs w:val="18"/>
        </w:rPr>
        <w:t>20</w:t>
      </w:r>
      <w:r w:rsidR="00E06E1E" w:rsidRPr="00C77D28">
        <w:rPr>
          <w:rFonts w:ascii="Arial" w:hAnsi="Arial" w:cs="Arial"/>
          <w:sz w:val="18"/>
          <w:szCs w:val="18"/>
        </w:rPr>
        <w:t>2</w:t>
      </w:r>
      <w:r w:rsidR="00994E2C" w:rsidRPr="00C77D28">
        <w:rPr>
          <w:rFonts w:ascii="Arial" w:hAnsi="Arial" w:cs="Arial"/>
          <w:sz w:val="18"/>
          <w:szCs w:val="18"/>
        </w:rPr>
        <w:t>2</w:t>
      </w:r>
    </w:p>
    <w:p w14:paraId="716EEF37" w14:textId="77777777" w:rsidR="007B633A" w:rsidRPr="005F6D82" w:rsidRDefault="00EE16B6" w:rsidP="000028FF">
      <w:pPr>
        <w:spacing w:line="340" w:lineRule="exact"/>
        <w:jc w:val="center"/>
        <w:rPr>
          <w:rFonts w:ascii="Arial" w:hAnsi="Arial" w:cs="Arial"/>
          <w:b/>
          <w:sz w:val="18"/>
          <w:szCs w:val="18"/>
        </w:rPr>
      </w:pPr>
      <w:proofErr w:type="spellStart"/>
      <w:r w:rsidRPr="005F6D82">
        <w:rPr>
          <w:rFonts w:ascii="Arial" w:hAnsi="Arial" w:cs="Arial"/>
          <w:b/>
          <w:sz w:val="18"/>
          <w:szCs w:val="18"/>
        </w:rPr>
        <w:t>Bluejay</w:t>
      </w:r>
      <w:proofErr w:type="spellEnd"/>
      <w:r w:rsidRPr="005F6D82">
        <w:rPr>
          <w:rFonts w:ascii="Arial" w:hAnsi="Arial" w:cs="Arial"/>
          <w:b/>
          <w:sz w:val="18"/>
          <w:szCs w:val="18"/>
        </w:rPr>
        <w:t xml:space="preserve"> </w:t>
      </w:r>
      <w:r w:rsidR="00DC3D22" w:rsidRPr="005F6D82">
        <w:rPr>
          <w:rFonts w:ascii="Arial" w:hAnsi="Arial" w:cs="Arial"/>
          <w:b/>
          <w:sz w:val="18"/>
          <w:szCs w:val="18"/>
        </w:rPr>
        <w:t>Mining</w:t>
      </w:r>
      <w:r w:rsidR="007B633A" w:rsidRPr="005F6D82">
        <w:rPr>
          <w:rFonts w:ascii="Arial" w:hAnsi="Arial" w:cs="Arial"/>
          <w:b/>
          <w:sz w:val="18"/>
          <w:szCs w:val="18"/>
        </w:rPr>
        <w:t xml:space="preserve"> plc (‘</w:t>
      </w:r>
      <w:proofErr w:type="spellStart"/>
      <w:r w:rsidRPr="005F6D82">
        <w:rPr>
          <w:rFonts w:ascii="Arial" w:hAnsi="Arial" w:cs="Arial"/>
          <w:b/>
          <w:sz w:val="18"/>
          <w:szCs w:val="18"/>
        </w:rPr>
        <w:t>Bluejay</w:t>
      </w:r>
      <w:proofErr w:type="spellEnd"/>
      <w:r w:rsidRPr="005F6D82">
        <w:rPr>
          <w:rFonts w:ascii="Arial" w:hAnsi="Arial" w:cs="Arial"/>
          <w:b/>
          <w:sz w:val="18"/>
          <w:szCs w:val="18"/>
        </w:rPr>
        <w:t xml:space="preserve">’ </w:t>
      </w:r>
      <w:r w:rsidR="007B633A" w:rsidRPr="005F6D82">
        <w:rPr>
          <w:rFonts w:ascii="Arial" w:hAnsi="Arial" w:cs="Arial"/>
          <w:b/>
          <w:sz w:val="18"/>
          <w:szCs w:val="18"/>
        </w:rPr>
        <w:t>or the ‘Company’)</w:t>
      </w:r>
    </w:p>
    <w:p w14:paraId="47DC177A" w14:textId="77777777" w:rsidR="007B633A" w:rsidRPr="005F6D82" w:rsidRDefault="007B633A" w:rsidP="000028FF">
      <w:pPr>
        <w:spacing w:line="340" w:lineRule="exact"/>
        <w:jc w:val="center"/>
        <w:rPr>
          <w:rFonts w:ascii="Arial" w:hAnsi="Arial" w:cs="Arial"/>
          <w:b/>
          <w:sz w:val="18"/>
          <w:szCs w:val="18"/>
        </w:rPr>
      </w:pPr>
      <w:r w:rsidRPr="005F6D82">
        <w:rPr>
          <w:rFonts w:ascii="Arial" w:hAnsi="Arial" w:cs="Arial"/>
          <w:b/>
          <w:sz w:val="18"/>
          <w:szCs w:val="18"/>
        </w:rPr>
        <w:t xml:space="preserve">Interim Results </w:t>
      </w:r>
    </w:p>
    <w:p w14:paraId="617D7EF5" w14:textId="652B53E9" w:rsidR="004F0016" w:rsidRPr="005F6D82" w:rsidRDefault="004F0016" w:rsidP="004F0016">
      <w:pPr>
        <w:spacing w:line="340" w:lineRule="exact"/>
        <w:jc w:val="both"/>
        <w:rPr>
          <w:rFonts w:ascii="Arial" w:hAnsi="Arial" w:cs="Arial"/>
          <w:sz w:val="18"/>
          <w:szCs w:val="18"/>
        </w:rPr>
      </w:pPr>
    </w:p>
    <w:p w14:paraId="74E51A4B" w14:textId="77777777" w:rsidR="00B74D7A" w:rsidRDefault="00B74D7A" w:rsidP="00B74D7A">
      <w:pPr>
        <w:jc w:val="both"/>
        <w:rPr>
          <w:rFonts w:ascii="Calibri" w:hAnsi="Calibri" w:cs="Calibri"/>
          <w:color w:val="000000"/>
          <w:sz w:val="22"/>
          <w:szCs w:val="22"/>
        </w:rPr>
      </w:pPr>
      <w:proofErr w:type="spellStart"/>
      <w:r w:rsidRPr="00103A7A">
        <w:rPr>
          <w:rFonts w:ascii="Calibri" w:hAnsi="Calibri" w:cs="Calibri"/>
          <w:color w:val="000000"/>
          <w:sz w:val="22"/>
          <w:szCs w:val="22"/>
        </w:rPr>
        <w:t>Bluejay</w:t>
      </w:r>
      <w:proofErr w:type="spellEnd"/>
      <w:r w:rsidRPr="00103A7A">
        <w:rPr>
          <w:rFonts w:ascii="Calibri" w:hAnsi="Calibri" w:cs="Calibri"/>
          <w:color w:val="000000"/>
          <w:sz w:val="22"/>
          <w:szCs w:val="22"/>
        </w:rPr>
        <w:t xml:space="preserve"> Mining plc, the AIM and FSE listed, and OTCQB traded, exploration company with projects in Greenland and Finland, is pleased to announce its Interim Results for the six months ended 30 June 202</w:t>
      </w:r>
      <w:r>
        <w:rPr>
          <w:rFonts w:ascii="Calibri" w:hAnsi="Calibri" w:cs="Calibri"/>
          <w:color w:val="000000"/>
          <w:sz w:val="22"/>
          <w:szCs w:val="22"/>
        </w:rPr>
        <w:t>2</w:t>
      </w:r>
      <w:r w:rsidRPr="00103A7A">
        <w:rPr>
          <w:rFonts w:ascii="Calibri" w:hAnsi="Calibri" w:cs="Calibri"/>
          <w:color w:val="000000"/>
          <w:sz w:val="22"/>
          <w:szCs w:val="22"/>
        </w:rPr>
        <w:t xml:space="preserve"> (the </w:t>
      </w:r>
      <w:r>
        <w:rPr>
          <w:rFonts w:ascii="Calibri" w:hAnsi="Calibri" w:cs="Calibri"/>
          <w:color w:val="000000"/>
          <w:sz w:val="22"/>
          <w:szCs w:val="22"/>
        </w:rPr>
        <w:t>‘</w:t>
      </w:r>
      <w:r w:rsidRPr="00103A7A">
        <w:rPr>
          <w:rFonts w:ascii="Calibri" w:hAnsi="Calibri" w:cs="Calibri"/>
          <w:color w:val="000000"/>
          <w:sz w:val="22"/>
          <w:szCs w:val="22"/>
        </w:rPr>
        <w:t>Period</w:t>
      </w:r>
      <w:r>
        <w:rPr>
          <w:rFonts w:ascii="Calibri" w:hAnsi="Calibri" w:cs="Calibri"/>
          <w:color w:val="000000"/>
          <w:sz w:val="22"/>
          <w:szCs w:val="22"/>
        </w:rPr>
        <w:t>’</w:t>
      </w:r>
      <w:r w:rsidRPr="00103A7A">
        <w:rPr>
          <w:rFonts w:ascii="Calibri" w:hAnsi="Calibri" w:cs="Calibri"/>
          <w:color w:val="000000"/>
          <w:sz w:val="22"/>
          <w:szCs w:val="22"/>
        </w:rPr>
        <w:t>).</w:t>
      </w:r>
    </w:p>
    <w:p w14:paraId="142E9D8B" w14:textId="77777777" w:rsidR="00B74D7A" w:rsidRDefault="00B74D7A" w:rsidP="00B74D7A">
      <w:pPr>
        <w:jc w:val="both"/>
        <w:rPr>
          <w:rFonts w:ascii="Calibri" w:hAnsi="Calibri" w:cs="Calibri"/>
          <w:color w:val="000000"/>
          <w:sz w:val="22"/>
          <w:szCs w:val="22"/>
        </w:rPr>
      </w:pPr>
    </w:p>
    <w:p w14:paraId="5B5E9F5B" w14:textId="77777777" w:rsidR="00B74D7A" w:rsidRPr="00E33E62" w:rsidRDefault="00B74D7A" w:rsidP="00B74D7A">
      <w:pPr>
        <w:spacing w:line="276" w:lineRule="auto"/>
        <w:jc w:val="both"/>
        <w:rPr>
          <w:rFonts w:ascii="Calibri" w:hAnsi="Calibri" w:cs="Calibri"/>
          <w:b/>
          <w:bCs/>
          <w:color w:val="000000"/>
          <w:sz w:val="22"/>
          <w:szCs w:val="22"/>
        </w:rPr>
      </w:pPr>
      <w:r w:rsidRPr="00E33E62">
        <w:rPr>
          <w:rFonts w:ascii="Calibri" w:hAnsi="Calibri" w:cs="Calibri"/>
          <w:b/>
          <w:bCs/>
          <w:color w:val="000000"/>
          <w:sz w:val="22"/>
          <w:szCs w:val="22"/>
        </w:rPr>
        <w:t>Highlights in H1 202</w:t>
      </w:r>
      <w:r>
        <w:rPr>
          <w:rFonts w:ascii="Calibri" w:hAnsi="Calibri" w:cs="Calibri"/>
          <w:b/>
          <w:bCs/>
          <w:color w:val="000000"/>
          <w:sz w:val="22"/>
          <w:szCs w:val="22"/>
        </w:rPr>
        <w:t>2</w:t>
      </w:r>
      <w:r w:rsidRPr="00E33E62">
        <w:rPr>
          <w:rFonts w:ascii="Calibri" w:hAnsi="Calibri" w:cs="Calibri"/>
          <w:b/>
          <w:bCs/>
          <w:color w:val="000000"/>
          <w:sz w:val="22"/>
          <w:szCs w:val="22"/>
        </w:rPr>
        <w:t>:</w:t>
      </w:r>
    </w:p>
    <w:p w14:paraId="5814594C" w14:textId="77777777" w:rsidR="00B74D7A" w:rsidRPr="00103A7A" w:rsidRDefault="00B74D7A" w:rsidP="00B74D7A">
      <w:pPr>
        <w:jc w:val="both"/>
        <w:rPr>
          <w:rFonts w:ascii="Calibri" w:hAnsi="Calibri" w:cs="Calibri"/>
          <w:color w:val="000000"/>
          <w:sz w:val="22"/>
          <w:szCs w:val="22"/>
        </w:rPr>
      </w:pPr>
    </w:p>
    <w:p w14:paraId="1FB2A063" w14:textId="77777777" w:rsidR="00B74D7A"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Pr>
          <w:rFonts w:ascii="Calibri" w:hAnsi="Calibri" w:cs="Calibri"/>
          <w:b/>
          <w:sz w:val="22"/>
          <w:szCs w:val="22"/>
        </w:rPr>
        <w:t xml:space="preserve">2021 </w:t>
      </w:r>
      <w:r w:rsidRPr="00F27901">
        <w:rPr>
          <w:rFonts w:ascii="Calibri" w:hAnsi="Calibri" w:cs="Calibri"/>
          <w:b/>
          <w:sz w:val="22"/>
          <w:szCs w:val="22"/>
        </w:rPr>
        <w:t xml:space="preserve">exploration programme completed at the Enonkoski </w:t>
      </w:r>
      <w:r>
        <w:rPr>
          <w:rFonts w:ascii="Calibri" w:hAnsi="Calibri" w:cs="Calibri"/>
          <w:b/>
          <w:sz w:val="22"/>
          <w:szCs w:val="22"/>
        </w:rPr>
        <w:t>P</w:t>
      </w:r>
      <w:r w:rsidRPr="00F27901">
        <w:rPr>
          <w:rFonts w:ascii="Calibri" w:hAnsi="Calibri" w:cs="Calibri"/>
          <w:b/>
          <w:sz w:val="22"/>
          <w:szCs w:val="22"/>
        </w:rPr>
        <w:t>roject, Finland</w:t>
      </w:r>
      <w:r>
        <w:rPr>
          <w:rFonts w:ascii="Calibri" w:hAnsi="Calibri" w:cs="Calibri"/>
          <w:b/>
          <w:sz w:val="22"/>
          <w:szCs w:val="22"/>
        </w:rPr>
        <w:t xml:space="preserve"> with Joint Venture partner (‘JV’) Rio Tinto</w:t>
      </w:r>
      <w:r w:rsidRPr="001B0BB1">
        <w:rPr>
          <w:rFonts w:ascii="Calibri" w:hAnsi="Calibri" w:cs="Calibri"/>
          <w:b/>
          <w:sz w:val="22"/>
          <w:szCs w:val="22"/>
        </w:rPr>
        <w:t xml:space="preserve">, </w:t>
      </w:r>
      <w:r>
        <w:rPr>
          <w:rFonts w:ascii="Calibri" w:hAnsi="Calibri" w:cs="Calibri"/>
          <w:b/>
          <w:sz w:val="22"/>
          <w:szCs w:val="22"/>
        </w:rPr>
        <w:t>followed by the</w:t>
      </w:r>
      <w:r w:rsidRPr="001B0BB1">
        <w:rPr>
          <w:rFonts w:ascii="Calibri" w:hAnsi="Calibri" w:cs="Calibri"/>
          <w:b/>
          <w:sz w:val="22"/>
          <w:szCs w:val="22"/>
        </w:rPr>
        <w:t xml:space="preserve"> </w:t>
      </w:r>
      <w:r>
        <w:rPr>
          <w:rFonts w:ascii="Calibri" w:hAnsi="Calibri" w:cs="Calibri"/>
          <w:b/>
          <w:sz w:val="22"/>
          <w:szCs w:val="22"/>
        </w:rPr>
        <w:t>2022 exploration programme</w:t>
      </w:r>
      <w:r w:rsidRPr="00611ADF">
        <w:rPr>
          <w:rFonts w:ascii="Calibri" w:hAnsi="Calibri" w:cs="Calibri"/>
          <w:b/>
          <w:bCs/>
          <w:sz w:val="22"/>
          <w:szCs w:val="22"/>
        </w:rPr>
        <w:t xml:space="preserve"> </w:t>
      </w:r>
    </w:p>
    <w:p w14:paraId="22BFBF66" w14:textId="77777777" w:rsidR="00B74D7A" w:rsidRPr="00611ADF"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sidRPr="005B07AC">
        <w:rPr>
          <w:rFonts w:ascii="Calibri" w:hAnsi="Calibri" w:cs="Calibri"/>
          <w:b/>
          <w:bCs/>
          <w:sz w:val="22"/>
          <w:szCs w:val="22"/>
        </w:rPr>
        <w:t>Comprehensive field season announced for summer 2022 at Disko-</w:t>
      </w:r>
      <w:proofErr w:type="spellStart"/>
      <w:r w:rsidRPr="005B07AC">
        <w:rPr>
          <w:rFonts w:ascii="Calibri" w:hAnsi="Calibri" w:cs="Calibri"/>
          <w:b/>
          <w:bCs/>
          <w:sz w:val="22"/>
          <w:szCs w:val="22"/>
        </w:rPr>
        <w:t>Nuussuaq</w:t>
      </w:r>
      <w:proofErr w:type="spellEnd"/>
      <w:r w:rsidRPr="005B07AC">
        <w:rPr>
          <w:rFonts w:ascii="Calibri" w:hAnsi="Calibri" w:cs="Calibri"/>
          <w:b/>
          <w:bCs/>
          <w:sz w:val="22"/>
          <w:szCs w:val="22"/>
        </w:rPr>
        <w:t> Project</w:t>
      </w:r>
      <w:r>
        <w:rPr>
          <w:rFonts w:ascii="Calibri" w:hAnsi="Calibri" w:cs="Calibri"/>
          <w:b/>
          <w:bCs/>
          <w:sz w:val="22"/>
          <w:szCs w:val="22"/>
        </w:rPr>
        <w:t xml:space="preserve">, Greenland, with JV partner </w:t>
      </w:r>
      <w:proofErr w:type="spellStart"/>
      <w:r w:rsidRPr="00586A76">
        <w:rPr>
          <w:rFonts w:ascii="Calibri" w:hAnsi="Calibri" w:cs="Calibri"/>
          <w:b/>
          <w:bCs/>
          <w:sz w:val="22"/>
          <w:szCs w:val="22"/>
        </w:rPr>
        <w:t>KoBold</w:t>
      </w:r>
      <w:proofErr w:type="spellEnd"/>
      <w:r w:rsidRPr="00586A76">
        <w:rPr>
          <w:rFonts w:ascii="Calibri" w:hAnsi="Calibri" w:cs="Calibri"/>
          <w:b/>
          <w:bCs/>
          <w:sz w:val="22"/>
          <w:szCs w:val="22"/>
        </w:rPr>
        <w:t xml:space="preserve"> Metals</w:t>
      </w:r>
    </w:p>
    <w:p w14:paraId="311E5FD5" w14:textId="77777777" w:rsidR="00B74D7A" w:rsidRPr="00F27901"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sz w:val="22"/>
          <w:szCs w:val="22"/>
        </w:rPr>
      </w:pPr>
      <w:r w:rsidRPr="00F27901">
        <w:rPr>
          <w:rFonts w:ascii="Calibri" w:hAnsi="Calibri" w:cs="Calibri"/>
          <w:b/>
          <w:sz w:val="22"/>
          <w:szCs w:val="22"/>
        </w:rPr>
        <w:t xml:space="preserve">Electronic Nautical Charts published for </w:t>
      </w:r>
      <w:r>
        <w:rPr>
          <w:rFonts w:ascii="Calibri" w:hAnsi="Calibri" w:cs="Calibri"/>
          <w:b/>
          <w:sz w:val="22"/>
          <w:szCs w:val="22"/>
        </w:rPr>
        <w:t xml:space="preserve">the </w:t>
      </w:r>
      <w:r w:rsidRPr="003860B3">
        <w:rPr>
          <w:rFonts w:ascii="Calibri" w:hAnsi="Calibri" w:cs="Calibri"/>
          <w:b/>
          <w:bCs/>
          <w:sz w:val="22"/>
          <w:szCs w:val="22"/>
        </w:rPr>
        <w:t>Dundas</w:t>
      </w:r>
      <w:r w:rsidRPr="0015010B">
        <w:rPr>
          <w:rFonts w:ascii="Calibri" w:hAnsi="Calibri" w:cs="Calibri"/>
          <w:b/>
          <w:bCs/>
          <w:sz w:val="22"/>
          <w:szCs w:val="22"/>
        </w:rPr>
        <w:t xml:space="preserve"> Project</w:t>
      </w:r>
      <w:r>
        <w:rPr>
          <w:rFonts w:ascii="Calibri" w:hAnsi="Calibri" w:cs="Calibri"/>
          <w:b/>
          <w:bCs/>
          <w:sz w:val="22"/>
          <w:szCs w:val="22"/>
        </w:rPr>
        <w:t xml:space="preserve"> (‘Dundas’), Greenland</w:t>
      </w:r>
    </w:p>
    <w:p w14:paraId="754F358F" w14:textId="77777777" w:rsidR="00B74D7A" w:rsidRPr="005B07AC"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sidRPr="005B07AC">
        <w:rPr>
          <w:rFonts w:ascii="Calibri" w:hAnsi="Calibri" w:cs="Calibri"/>
          <w:b/>
          <w:bCs/>
          <w:sz w:val="22"/>
          <w:szCs w:val="22"/>
        </w:rPr>
        <w:t>Incorporation of the Disko-</w:t>
      </w:r>
      <w:proofErr w:type="spellStart"/>
      <w:r w:rsidRPr="005B07AC">
        <w:rPr>
          <w:rFonts w:ascii="Calibri" w:hAnsi="Calibri" w:cs="Calibri"/>
          <w:b/>
          <w:bCs/>
          <w:sz w:val="22"/>
          <w:szCs w:val="22"/>
        </w:rPr>
        <w:t>Nuussuaq</w:t>
      </w:r>
      <w:proofErr w:type="spellEnd"/>
      <w:r>
        <w:rPr>
          <w:rFonts w:ascii="Calibri" w:hAnsi="Calibri" w:cs="Calibri"/>
          <w:b/>
          <w:bCs/>
          <w:sz w:val="22"/>
          <w:szCs w:val="22"/>
        </w:rPr>
        <w:t xml:space="preserve"> </w:t>
      </w:r>
      <w:r w:rsidRPr="005B07AC">
        <w:rPr>
          <w:rFonts w:ascii="Calibri" w:hAnsi="Calibri" w:cs="Calibri"/>
          <w:b/>
          <w:bCs/>
          <w:sz w:val="22"/>
          <w:szCs w:val="22"/>
        </w:rPr>
        <w:t>JV company - </w:t>
      </w:r>
      <w:proofErr w:type="spellStart"/>
      <w:r w:rsidRPr="005B07AC">
        <w:rPr>
          <w:rFonts w:ascii="Calibri" w:hAnsi="Calibri" w:cs="Calibri"/>
          <w:b/>
          <w:bCs/>
          <w:sz w:val="22"/>
          <w:szCs w:val="22"/>
        </w:rPr>
        <w:t>Nikkeli</w:t>
      </w:r>
      <w:proofErr w:type="spellEnd"/>
      <w:r w:rsidRPr="005B07AC">
        <w:rPr>
          <w:rFonts w:ascii="Calibri" w:hAnsi="Calibri" w:cs="Calibri"/>
          <w:b/>
          <w:bCs/>
          <w:sz w:val="22"/>
          <w:szCs w:val="22"/>
        </w:rPr>
        <w:t xml:space="preserve"> Greenland A/S</w:t>
      </w:r>
    </w:p>
    <w:p w14:paraId="7AC69E37" w14:textId="77777777" w:rsidR="00B74D7A" w:rsidRPr="005B07AC"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sidRPr="005B07AC">
        <w:rPr>
          <w:rFonts w:ascii="Calibri" w:hAnsi="Calibri" w:cs="Calibri"/>
          <w:b/>
          <w:bCs/>
          <w:sz w:val="22"/>
          <w:szCs w:val="22"/>
        </w:rPr>
        <w:t xml:space="preserve">European Raw Material Alliance ('ERMA') announced official support for Dundas </w:t>
      </w:r>
    </w:p>
    <w:p w14:paraId="30B09A25" w14:textId="77777777" w:rsidR="00B74D7A" w:rsidRPr="005B07AC"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sidRPr="005B07AC">
        <w:rPr>
          <w:rFonts w:ascii="Calibri" w:hAnsi="Calibri" w:cs="Calibri"/>
          <w:b/>
          <w:bCs/>
          <w:sz w:val="22"/>
          <w:szCs w:val="22"/>
        </w:rPr>
        <w:t>Capital increase supported by existing institutional shareholders raising $7 million (£5.4 million) for completion of Dundas feasibility for Project Finance sign-off</w:t>
      </w:r>
    </w:p>
    <w:p w14:paraId="02164228" w14:textId="77777777" w:rsidR="00B74D7A" w:rsidRPr="009253EA"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proofErr w:type="spellStart"/>
      <w:r>
        <w:rPr>
          <w:rFonts w:ascii="Calibri" w:hAnsi="Calibri" w:cs="Calibri"/>
          <w:b/>
          <w:bCs/>
          <w:sz w:val="22"/>
          <w:szCs w:val="22"/>
        </w:rPr>
        <w:t>Kangerluarsuk</w:t>
      </w:r>
      <w:proofErr w:type="spellEnd"/>
      <w:r>
        <w:rPr>
          <w:rFonts w:ascii="Calibri" w:hAnsi="Calibri" w:cs="Calibri"/>
          <w:b/>
          <w:bCs/>
          <w:sz w:val="22"/>
          <w:szCs w:val="22"/>
        </w:rPr>
        <w:t xml:space="preserve"> Survey scheduled </w:t>
      </w:r>
    </w:p>
    <w:p w14:paraId="2AF49B4D" w14:textId="77777777" w:rsidR="00B74D7A" w:rsidRPr="00697383" w:rsidRDefault="00B74D7A" w:rsidP="00B74D7A">
      <w:pPr>
        <w:pStyle w:val="ListParagraph"/>
        <w:numPr>
          <w:ilvl w:val="0"/>
          <w:numId w:val="1"/>
        </w:numPr>
        <w:overflowPunct/>
        <w:autoSpaceDE/>
        <w:autoSpaceDN/>
        <w:adjustRightInd/>
        <w:spacing w:line="276" w:lineRule="auto"/>
        <w:jc w:val="both"/>
        <w:textAlignment w:val="auto"/>
        <w:rPr>
          <w:rFonts w:ascii="Calibri" w:hAnsi="Calibri" w:cs="Calibri"/>
          <w:b/>
          <w:bCs/>
          <w:sz w:val="22"/>
          <w:szCs w:val="22"/>
        </w:rPr>
      </w:pPr>
      <w:r w:rsidRPr="00697383">
        <w:rPr>
          <w:rFonts w:ascii="Calibri" w:hAnsi="Calibri" w:cs="Calibri"/>
          <w:b/>
          <w:bCs/>
          <w:sz w:val="22"/>
          <w:szCs w:val="22"/>
        </w:rPr>
        <w:t xml:space="preserve">Michael Hutchinson appointed as Interim </w:t>
      </w:r>
      <w:r>
        <w:rPr>
          <w:rFonts w:ascii="Calibri" w:hAnsi="Calibri" w:cs="Calibri"/>
          <w:b/>
          <w:bCs/>
          <w:sz w:val="22"/>
          <w:szCs w:val="22"/>
        </w:rPr>
        <w:t xml:space="preserve">Non-Executive </w:t>
      </w:r>
      <w:r w:rsidRPr="00697383">
        <w:rPr>
          <w:rFonts w:ascii="Calibri" w:hAnsi="Calibri" w:cs="Calibri"/>
          <w:b/>
          <w:bCs/>
          <w:sz w:val="22"/>
          <w:szCs w:val="22"/>
        </w:rPr>
        <w:t>Chairman</w:t>
      </w:r>
    </w:p>
    <w:p w14:paraId="04F6973F" w14:textId="77777777" w:rsidR="00B74D7A" w:rsidRPr="001B0BB1" w:rsidRDefault="00B74D7A" w:rsidP="00B74D7A">
      <w:pPr>
        <w:pStyle w:val="ListParagraph"/>
        <w:overflowPunct/>
        <w:autoSpaceDE/>
        <w:autoSpaceDN/>
        <w:adjustRightInd/>
        <w:spacing w:line="276" w:lineRule="auto"/>
        <w:jc w:val="both"/>
        <w:textAlignment w:val="auto"/>
        <w:rPr>
          <w:rFonts w:ascii="Calibri" w:hAnsi="Calibri" w:cs="Calibri"/>
          <w:b/>
          <w:sz w:val="22"/>
          <w:szCs w:val="22"/>
        </w:rPr>
      </w:pPr>
    </w:p>
    <w:p w14:paraId="0314EDD5" w14:textId="77777777" w:rsidR="00B74D7A" w:rsidRPr="00E33E62" w:rsidRDefault="00B74D7A" w:rsidP="00B74D7A">
      <w:pPr>
        <w:spacing w:line="276" w:lineRule="auto"/>
        <w:jc w:val="both"/>
        <w:rPr>
          <w:rFonts w:ascii="Calibri" w:hAnsi="Calibri" w:cs="Calibri"/>
          <w:b/>
          <w:bCs/>
          <w:color w:val="000000"/>
          <w:sz w:val="22"/>
          <w:szCs w:val="22"/>
        </w:rPr>
      </w:pPr>
      <w:r w:rsidRPr="00E33E62">
        <w:rPr>
          <w:rFonts w:ascii="Calibri" w:hAnsi="Calibri" w:cs="Calibri"/>
          <w:b/>
          <w:bCs/>
          <w:color w:val="000000"/>
          <w:sz w:val="22"/>
          <w:szCs w:val="22"/>
        </w:rPr>
        <w:t>Post Period</w:t>
      </w:r>
    </w:p>
    <w:p w14:paraId="54F4C2B8" w14:textId="77777777" w:rsidR="00B74D7A" w:rsidRPr="00FC0C26" w:rsidRDefault="00B74D7A" w:rsidP="00B74D7A">
      <w:pPr>
        <w:pStyle w:val="ListParagraph"/>
        <w:numPr>
          <w:ilvl w:val="0"/>
          <w:numId w:val="3"/>
        </w:numPr>
        <w:spacing w:line="276" w:lineRule="auto"/>
        <w:jc w:val="both"/>
        <w:rPr>
          <w:rFonts w:asciiTheme="minorHAnsi" w:eastAsiaTheme="minorHAnsi" w:hAnsiTheme="minorHAnsi" w:cstheme="minorHAnsi"/>
          <w:b/>
          <w:bCs/>
          <w:sz w:val="22"/>
          <w:szCs w:val="22"/>
        </w:rPr>
      </w:pPr>
      <w:r w:rsidRPr="00FC0C26">
        <w:rPr>
          <w:rFonts w:asciiTheme="minorHAnsi" w:hAnsiTheme="minorHAnsi" w:cstheme="minorHAnsi"/>
          <w:b/>
          <w:bCs/>
          <w:color w:val="000000"/>
          <w:sz w:val="22"/>
          <w:szCs w:val="22"/>
        </w:rPr>
        <w:t xml:space="preserve">Enonkoski </w:t>
      </w:r>
      <w:r w:rsidRPr="00BE3908">
        <w:rPr>
          <w:rFonts w:asciiTheme="minorHAnsi" w:eastAsiaTheme="minorHAnsi" w:hAnsiTheme="minorHAnsi" w:cstheme="minorHAnsi"/>
          <w:b/>
          <w:bCs/>
          <w:sz w:val="22"/>
          <w:szCs w:val="22"/>
        </w:rPr>
        <w:t>JV Project</w:t>
      </w:r>
      <w:r w:rsidRPr="00FC0C26">
        <w:rPr>
          <w:rFonts w:asciiTheme="minorHAnsi" w:eastAsiaTheme="minorHAnsi" w:hAnsiTheme="minorHAnsi" w:cstheme="minorHAnsi"/>
          <w:b/>
          <w:bCs/>
          <w:sz w:val="22"/>
          <w:szCs w:val="22"/>
        </w:rPr>
        <w:t xml:space="preserve"> </w:t>
      </w:r>
      <w:r w:rsidRPr="00FC0C26">
        <w:rPr>
          <w:rFonts w:asciiTheme="minorHAnsi" w:hAnsiTheme="minorHAnsi" w:cstheme="minorHAnsi"/>
          <w:b/>
          <w:bCs/>
          <w:color w:val="000000"/>
          <w:sz w:val="22"/>
          <w:szCs w:val="22"/>
        </w:rPr>
        <w:t xml:space="preserve">2022 exploration programme completed  </w:t>
      </w:r>
    </w:p>
    <w:p w14:paraId="4CDEEB7B" w14:textId="77777777" w:rsidR="00B74D7A" w:rsidRPr="00DB0650" w:rsidRDefault="00B74D7A" w:rsidP="00B74D7A">
      <w:pPr>
        <w:pStyle w:val="ListParagraph"/>
        <w:numPr>
          <w:ilvl w:val="0"/>
          <w:numId w:val="3"/>
        </w:numPr>
        <w:spacing w:line="276" w:lineRule="auto"/>
        <w:jc w:val="both"/>
        <w:rPr>
          <w:rFonts w:asciiTheme="minorHAnsi" w:eastAsiaTheme="minorHAnsi" w:hAnsiTheme="minorHAnsi" w:cstheme="minorHAnsi"/>
          <w:b/>
          <w:bCs/>
          <w:sz w:val="22"/>
          <w:szCs w:val="22"/>
        </w:rPr>
      </w:pPr>
      <w:r>
        <w:rPr>
          <w:rFonts w:asciiTheme="minorHAnsi" w:hAnsiTheme="minorHAnsi" w:cstheme="minorHAnsi"/>
          <w:b/>
          <w:bCs/>
          <w:color w:val="000000"/>
          <w:sz w:val="22"/>
          <w:szCs w:val="22"/>
        </w:rPr>
        <w:t xml:space="preserve">Dundas </w:t>
      </w:r>
      <w:proofErr w:type="spellStart"/>
      <w:r>
        <w:rPr>
          <w:rFonts w:asciiTheme="minorHAnsi" w:hAnsiTheme="minorHAnsi" w:cstheme="minorHAnsi"/>
          <w:b/>
          <w:bCs/>
          <w:color w:val="000000"/>
          <w:sz w:val="22"/>
          <w:szCs w:val="22"/>
        </w:rPr>
        <w:t>Illmenite</w:t>
      </w:r>
      <w:proofErr w:type="spellEnd"/>
      <w:r>
        <w:rPr>
          <w:rFonts w:asciiTheme="minorHAnsi" w:hAnsiTheme="minorHAnsi" w:cstheme="minorHAnsi"/>
          <w:b/>
          <w:bCs/>
          <w:color w:val="000000"/>
          <w:sz w:val="22"/>
          <w:szCs w:val="22"/>
        </w:rPr>
        <w:t xml:space="preserve"> Project 2022 field season completed</w:t>
      </w:r>
    </w:p>
    <w:p w14:paraId="1EFCA7F9" w14:textId="77777777" w:rsidR="00B74D7A" w:rsidRPr="008B3C4E" w:rsidRDefault="00B74D7A" w:rsidP="00B74D7A">
      <w:pPr>
        <w:pStyle w:val="ListParagraph"/>
        <w:numPr>
          <w:ilvl w:val="0"/>
          <w:numId w:val="2"/>
        </w:numPr>
        <w:spacing w:line="276" w:lineRule="auto"/>
        <w:jc w:val="both"/>
        <w:rPr>
          <w:rFonts w:asciiTheme="minorHAnsi" w:hAnsiTheme="minorHAnsi" w:cstheme="minorHAnsi"/>
          <w:b/>
          <w:bCs/>
          <w:color w:val="000000"/>
          <w:sz w:val="22"/>
          <w:szCs w:val="22"/>
        </w:rPr>
      </w:pPr>
      <w:proofErr w:type="spellStart"/>
      <w:r w:rsidRPr="00DB0650">
        <w:rPr>
          <w:rFonts w:asciiTheme="minorHAnsi" w:hAnsiTheme="minorHAnsi" w:cstheme="minorHAnsi"/>
          <w:b/>
          <w:bCs/>
          <w:sz w:val="22"/>
          <w:szCs w:val="22"/>
        </w:rPr>
        <w:t>Kangerluarsuk</w:t>
      </w:r>
      <w:proofErr w:type="spellEnd"/>
      <w:r w:rsidRPr="00DB0650">
        <w:rPr>
          <w:rFonts w:asciiTheme="minorHAnsi" w:hAnsiTheme="minorHAnsi" w:cstheme="minorHAnsi"/>
          <w:b/>
          <w:bCs/>
          <w:sz w:val="22"/>
          <w:szCs w:val="22"/>
        </w:rPr>
        <w:t xml:space="preserve"> </w:t>
      </w:r>
      <w:r>
        <w:rPr>
          <w:rFonts w:asciiTheme="minorHAnsi" w:hAnsiTheme="minorHAnsi" w:cstheme="minorHAnsi"/>
          <w:b/>
          <w:bCs/>
          <w:sz w:val="22"/>
          <w:szCs w:val="22"/>
        </w:rPr>
        <w:t>s</w:t>
      </w:r>
      <w:r w:rsidRPr="00DB0650">
        <w:rPr>
          <w:rFonts w:asciiTheme="minorHAnsi" w:hAnsiTheme="minorHAnsi" w:cstheme="minorHAnsi"/>
          <w:b/>
          <w:bCs/>
          <w:sz w:val="22"/>
          <w:szCs w:val="22"/>
        </w:rPr>
        <w:t xml:space="preserve">urvey </w:t>
      </w:r>
      <w:r>
        <w:rPr>
          <w:rFonts w:asciiTheme="minorHAnsi" w:hAnsiTheme="minorHAnsi" w:cstheme="minorHAnsi"/>
          <w:b/>
          <w:bCs/>
          <w:sz w:val="22"/>
          <w:szCs w:val="22"/>
        </w:rPr>
        <w:t>p</w:t>
      </w:r>
      <w:r w:rsidRPr="00DB0650">
        <w:rPr>
          <w:rFonts w:asciiTheme="minorHAnsi" w:hAnsiTheme="minorHAnsi" w:cstheme="minorHAnsi"/>
          <w:b/>
          <w:bCs/>
          <w:sz w:val="22"/>
          <w:szCs w:val="22"/>
        </w:rPr>
        <w:t>rogramme completed</w:t>
      </w:r>
      <w:r>
        <w:rPr>
          <w:rFonts w:asciiTheme="minorHAnsi" w:hAnsiTheme="minorHAnsi" w:cstheme="minorHAnsi"/>
          <w:b/>
          <w:bCs/>
          <w:sz w:val="22"/>
          <w:szCs w:val="22"/>
        </w:rPr>
        <w:t xml:space="preserve"> with results anticipated in Q4 2022</w:t>
      </w:r>
    </w:p>
    <w:p w14:paraId="5DC4D093" w14:textId="77777777" w:rsidR="00B74D7A" w:rsidRPr="00246729" w:rsidRDefault="00B74D7A" w:rsidP="00B74D7A">
      <w:pPr>
        <w:pStyle w:val="ListParagraph"/>
        <w:spacing w:line="276" w:lineRule="auto"/>
        <w:jc w:val="both"/>
        <w:rPr>
          <w:rFonts w:ascii="Calibri" w:hAnsi="Calibri" w:cs="Calibri"/>
          <w:b/>
          <w:bCs/>
          <w:color w:val="000000"/>
          <w:sz w:val="22"/>
          <w:szCs w:val="22"/>
        </w:rPr>
      </w:pPr>
    </w:p>
    <w:p w14:paraId="62827E6D" w14:textId="77777777" w:rsidR="00B74D7A" w:rsidRPr="00E33E62" w:rsidRDefault="00B74D7A" w:rsidP="00B74D7A">
      <w:pPr>
        <w:spacing w:line="276" w:lineRule="auto"/>
        <w:jc w:val="both"/>
        <w:rPr>
          <w:rFonts w:ascii="Calibri" w:hAnsi="Calibri" w:cs="Calibri"/>
          <w:b/>
          <w:bCs/>
          <w:color w:val="000000"/>
          <w:sz w:val="22"/>
          <w:szCs w:val="22"/>
        </w:rPr>
      </w:pPr>
      <w:r w:rsidRPr="00E33E62">
        <w:rPr>
          <w:rFonts w:ascii="Calibri" w:hAnsi="Calibri" w:cs="Calibri"/>
          <w:b/>
          <w:bCs/>
          <w:color w:val="000000"/>
          <w:sz w:val="22"/>
          <w:szCs w:val="22"/>
        </w:rPr>
        <w:t>Chairman’s Statement</w:t>
      </w:r>
    </w:p>
    <w:p w14:paraId="4339126F" w14:textId="77777777" w:rsidR="00B74D7A" w:rsidRPr="00E33E62" w:rsidRDefault="00B74D7A" w:rsidP="00B74D7A">
      <w:pPr>
        <w:spacing w:line="276" w:lineRule="auto"/>
        <w:jc w:val="both"/>
        <w:rPr>
          <w:rFonts w:ascii="Calibri" w:hAnsi="Calibri" w:cs="Calibri"/>
          <w:b/>
          <w:color w:val="000000"/>
          <w:sz w:val="22"/>
          <w:szCs w:val="22"/>
        </w:rPr>
      </w:pPr>
    </w:p>
    <w:p w14:paraId="7F85094F" w14:textId="2536D220"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The Company has seen material progress made across its entire portfolio during the Period.  Work with </w:t>
      </w:r>
      <w:proofErr w:type="spellStart"/>
      <w:r>
        <w:rPr>
          <w:rFonts w:ascii="Calibri" w:hAnsi="Calibri" w:cs="Calibri"/>
          <w:sz w:val="22"/>
          <w:szCs w:val="22"/>
        </w:rPr>
        <w:t>Bluejay’s</w:t>
      </w:r>
      <w:proofErr w:type="spellEnd"/>
      <w:r>
        <w:rPr>
          <w:rFonts w:ascii="Calibri" w:hAnsi="Calibri" w:cs="Calibri"/>
          <w:sz w:val="22"/>
          <w:szCs w:val="22"/>
        </w:rPr>
        <w:t xml:space="preserve"> JV partners </w:t>
      </w:r>
      <w:r w:rsidRPr="00C75EC5">
        <w:rPr>
          <w:rFonts w:ascii="Calibri" w:hAnsi="Calibri" w:cs="Calibri"/>
          <w:sz w:val="22"/>
          <w:szCs w:val="22"/>
        </w:rPr>
        <w:t>at the Company</w:t>
      </w:r>
      <w:r>
        <w:rPr>
          <w:rFonts w:ascii="Calibri" w:hAnsi="Calibri" w:cs="Calibri"/>
          <w:sz w:val="22"/>
          <w:szCs w:val="22"/>
        </w:rPr>
        <w:t>’</w:t>
      </w:r>
      <w:r w:rsidRPr="00C75EC5">
        <w:rPr>
          <w:rFonts w:ascii="Calibri" w:hAnsi="Calibri" w:cs="Calibri"/>
          <w:sz w:val="22"/>
          <w:szCs w:val="22"/>
        </w:rPr>
        <w:t>s Enonkoski nickel-copper-cobalt-PGM project (</w:t>
      </w:r>
      <w:r>
        <w:rPr>
          <w:rFonts w:ascii="Calibri" w:hAnsi="Calibri" w:cs="Calibri"/>
          <w:sz w:val="22"/>
          <w:szCs w:val="22"/>
        </w:rPr>
        <w:t>‘</w:t>
      </w:r>
      <w:r w:rsidRPr="00C75EC5">
        <w:rPr>
          <w:rFonts w:ascii="Calibri" w:hAnsi="Calibri" w:cs="Calibri"/>
          <w:sz w:val="22"/>
          <w:szCs w:val="22"/>
        </w:rPr>
        <w:t>Enonkoski</w:t>
      </w:r>
      <w:r>
        <w:rPr>
          <w:rFonts w:ascii="Calibri" w:hAnsi="Calibri" w:cs="Calibri"/>
          <w:sz w:val="22"/>
          <w:szCs w:val="22"/>
        </w:rPr>
        <w:t>’</w:t>
      </w:r>
      <w:r w:rsidRPr="00C75EC5">
        <w:rPr>
          <w:rFonts w:ascii="Calibri" w:hAnsi="Calibri" w:cs="Calibri"/>
          <w:sz w:val="22"/>
          <w:szCs w:val="22"/>
        </w:rPr>
        <w:t>)</w:t>
      </w:r>
      <w:r w:rsidRPr="00C75EC5" w:rsidDel="00C75EC5">
        <w:rPr>
          <w:rFonts w:ascii="Calibri" w:hAnsi="Calibri" w:cs="Calibri"/>
          <w:sz w:val="22"/>
          <w:szCs w:val="22"/>
        </w:rPr>
        <w:t xml:space="preserve"> </w:t>
      </w:r>
      <w:r>
        <w:rPr>
          <w:rFonts w:ascii="Calibri" w:hAnsi="Calibri" w:cs="Calibri"/>
          <w:sz w:val="22"/>
          <w:szCs w:val="22"/>
        </w:rPr>
        <w:t xml:space="preserve">and </w:t>
      </w:r>
      <w:r w:rsidRPr="00616A18">
        <w:rPr>
          <w:rFonts w:ascii="Calibri" w:hAnsi="Calibri" w:cs="Calibri"/>
          <w:sz w:val="22"/>
          <w:szCs w:val="22"/>
        </w:rPr>
        <w:t>the Disko-</w:t>
      </w:r>
      <w:proofErr w:type="spellStart"/>
      <w:r w:rsidRPr="00616A18">
        <w:rPr>
          <w:rFonts w:ascii="Calibri" w:hAnsi="Calibri" w:cs="Calibri"/>
          <w:sz w:val="22"/>
          <w:szCs w:val="22"/>
        </w:rPr>
        <w:t>Nuussuaq</w:t>
      </w:r>
      <w:proofErr w:type="spellEnd"/>
      <w:r w:rsidRPr="00616A18">
        <w:rPr>
          <w:rFonts w:ascii="Calibri" w:hAnsi="Calibri" w:cs="Calibri"/>
          <w:sz w:val="22"/>
          <w:szCs w:val="22"/>
        </w:rPr>
        <w:t xml:space="preserve"> magmatic massive sulphide nickel-copper-platinum-cobalt project (</w:t>
      </w:r>
      <w:r>
        <w:rPr>
          <w:rFonts w:ascii="Calibri" w:hAnsi="Calibri" w:cs="Calibri"/>
          <w:sz w:val="22"/>
          <w:szCs w:val="22"/>
        </w:rPr>
        <w:t>‘</w:t>
      </w:r>
      <w:r w:rsidRPr="00616A18">
        <w:rPr>
          <w:rFonts w:ascii="Calibri" w:hAnsi="Calibri" w:cs="Calibri"/>
          <w:sz w:val="22"/>
          <w:szCs w:val="22"/>
        </w:rPr>
        <w:t>Disko</w:t>
      </w:r>
      <w:r>
        <w:rPr>
          <w:rFonts w:ascii="Calibri" w:hAnsi="Calibri" w:cs="Calibri"/>
          <w:sz w:val="22"/>
          <w:szCs w:val="22"/>
        </w:rPr>
        <w:t>’</w:t>
      </w:r>
      <w:r w:rsidRPr="00616A18">
        <w:rPr>
          <w:rFonts w:ascii="Calibri" w:hAnsi="Calibri" w:cs="Calibri"/>
          <w:sz w:val="22"/>
          <w:szCs w:val="22"/>
        </w:rPr>
        <w:t>)</w:t>
      </w:r>
      <w:r w:rsidRPr="00616A18" w:rsidDel="00616A18">
        <w:rPr>
          <w:rFonts w:ascii="Calibri" w:hAnsi="Calibri" w:cs="Calibri"/>
          <w:sz w:val="22"/>
          <w:szCs w:val="22"/>
        </w:rPr>
        <w:t xml:space="preserve"> </w:t>
      </w:r>
      <w:r>
        <w:rPr>
          <w:rFonts w:ascii="Calibri" w:hAnsi="Calibri" w:cs="Calibri"/>
          <w:sz w:val="22"/>
          <w:szCs w:val="22"/>
        </w:rPr>
        <w:t xml:space="preserve">have enabled the Company to run multiple partner funded exploration programmes over the field season in both Greenland and Finland simultaneously. This has aided in accelerating the Company’s project timeline whilst continuing to strengthen the teams at each respective site, as we continue our focus on realising further value at </w:t>
      </w:r>
      <w:r w:rsidRPr="00680315">
        <w:rPr>
          <w:rFonts w:ascii="Calibri" w:hAnsi="Calibri" w:cs="Calibri"/>
          <w:sz w:val="22"/>
          <w:szCs w:val="22"/>
        </w:rPr>
        <w:t>Dundas Ilmenite Project</w:t>
      </w:r>
      <w:r>
        <w:rPr>
          <w:rFonts w:ascii="Calibri" w:hAnsi="Calibri" w:cs="Calibri"/>
          <w:sz w:val="22"/>
          <w:szCs w:val="22"/>
        </w:rPr>
        <w:t xml:space="preserve"> (‘Dundas’).</w:t>
      </w:r>
    </w:p>
    <w:p w14:paraId="2DC30580" w14:textId="77777777" w:rsidR="00B74D7A" w:rsidRDefault="00B74D7A" w:rsidP="00B74D7A">
      <w:pPr>
        <w:spacing w:line="276" w:lineRule="auto"/>
        <w:jc w:val="both"/>
        <w:rPr>
          <w:rFonts w:ascii="Calibri" w:hAnsi="Calibri" w:cs="Calibri"/>
          <w:sz w:val="22"/>
          <w:szCs w:val="22"/>
        </w:rPr>
      </w:pPr>
    </w:p>
    <w:p w14:paraId="2DB6C542"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Following the completion of the 2021 exploration programme at the Company’s JV Enonkoski project, </w:t>
      </w:r>
      <w:proofErr w:type="spellStart"/>
      <w:r>
        <w:rPr>
          <w:rFonts w:ascii="Calibri" w:hAnsi="Calibri" w:cs="Calibri"/>
          <w:sz w:val="22"/>
          <w:szCs w:val="22"/>
        </w:rPr>
        <w:t>Bluejay’s</w:t>
      </w:r>
      <w:proofErr w:type="spellEnd"/>
      <w:r>
        <w:rPr>
          <w:rFonts w:ascii="Calibri" w:hAnsi="Calibri" w:cs="Calibri"/>
          <w:sz w:val="22"/>
          <w:szCs w:val="22"/>
        </w:rPr>
        <w:t xml:space="preserve"> JV partner Rio Tinto Exploration Finland Oy (‘Rio Tinto’) approved further expenditure to continue the exploration programme, further highlighting the JV’s confidence in the project which is located on a belt that has previously demonstrated nickel occurrences and production. During 2022 Rio Tinto carried out an exploration programme which was completed post period and focused on follow-up drilling at </w:t>
      </w:r>
      <w:proofErr w:type="spellStart"/>
      <w:r>
        <w:rPr>
          <w:rFonts w:ascii="Calibri" w:hAnsi="Calibri" w:cs="Calibri"/>
          <w:sz w:val="22"/>
          <w:szCs w:val="22"/>
        </w:rPr>
        <w:t>Muhelampi</w:t>
      </w:r>
      <w:proofErr w:type="spellEnd"/>
      <w:r>
        <w:rPr>
          <w:rFonts w:ascii="Calibri" w:hAnsi="Calibri" w:cs="Calibri"/>
          <w:sz w:val="22"/>
          <w:szCs w:val="22"/>
        </w:rPr>
        <w:t xml:space="preserve"> and </w:t>
      </w:r>
      <w:proofErr w:type="spellStart"/>
      <w:r>
        <w:rPr>
          <w:rFonts w:ascii="Calibri" w:hAnsi="Calibri" w:cs="Calibri"/>
          <w:sz w:val="22"/>
          <w:szCs w:val="22"/>
        </w:rPr>
        <w:t>Laukunlampi</w:t>
      </w:r>
      <w:proofErr w:type="spellEnd"/>
      <w:r>
        <w:rPr>
          <w:rFonts w:ascii="Calibri" w:hAnsi="Calibri" w:cs="Calibri"/>
          <w:sz w:val="22"/>
          <w:szCs w:val="22"/>
        </w:rPr>
        <w:t xml:space="preserve">, both located close to the former </w:t>
      </w:r>
      <w:proofErr w:type="spellStart"/>
      <w:r>
        <w:rPr>
          <w:rFonts w:ascii="Calibri" w:hAnsi="Calibri" w:cs="Calibri"/>
          <w:sz w:val="22"/>
          <w:szCs w:val="22"/>
        </w:rPr>
        <w:t>Laukunkangas</w:t>
      </w:r>
      <w:proofErr w:type="spellEnd"/>
      <w:r>
        <w:rPr>
          <w:rFonts w:ascii="Calibri" w:hAnsi="Calibri" w:cs="Calibri"/>
          <w:sz w:val="22"/>
          <w:szCs w:val="22"/>
        </w:rPr>
        <w:t xml:space="preserve"> nickel, copper, cobalt mine. Assay results, mapping, and sampling data are currently being analysed. </w:t>
      </w:r>
    </w:p>
    <w:p w14:paraId="57BA52EF" w14:textId="77777777" w:rsidR="00B74D7A" w:rsidRDefault="00B74D7A" w:rsidP="00B74D7A">
      <w:pPr>
        <w:spacing w:line="276" w:lineRule="auto"/>
        <w:jc w:val="both"/>
        <w:rPr>
          <w:rFonts w:ascii="Calibri" w:hAnsi="Calibri" w:cs="Calibri"/>
          <w:sz w:val="22"/>
          <w:szCs w:val="22"/>
        </w:rPr>
      </w:pPr>
    </w:p>
    <w:p w14:paraId="220C927D"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Significant progress was made at the Company’s additional JV project, </w:t>
      </w:r>
      <w:r w:rsidRPr="0090673F">
        <w:rPr>
          <w:rFonts w:ascii="Calibri" w:hAnsi="Calibri" w:cs="Calibri"/>
          <w:sz w:val="22"/>
          <w:szCs w:val="22"/>
        </w:rPr>
        <w:t>Disko</w:t>
      </w:r>
      <w:r>
        <w:rPr>
          <w:rFonts w:ascii="Calibri" w:hAnsi="Calibri" w:cs="Calibri"/>
          <w:sz w:val="22"/>
          <w:szCs w:val="22"/>
        </w:rPr>
        <w:t xml:space="preserve">. Where alongside </w:t>
      </w:r>
      <w:proofErr w:type="spellStart"/>
      <w:r>
        <w:rPr>
          <w:rFonts w:ascii="Calibri" w:hAnsi="Calibri" w:cs="Calibri"/>
          <w:sz w:val="22"/>
          <w:szCs w:val="22"/>
        </w:rPr>
        <w:t>Bluejay’s</w:t>
      </w:r>
      <w:proofErr w:type="spellEnd"/>
      <w:r>
        <w:rPr>
          <w:rFonts w:ascii="Calibri" w:hAnsi="Calibri" w:cs="Calibri"/>
          <w:sz w:val="22"/>
          <w:szCs w:val="22"/>
        </w:rPr>
        <w:t xml:space="preserve"> JV partner </w:t>
      </w:r>
      <w:proofErr w:type="spellStart"/>
      <w:r>
        <w:rPr>
          <w:rFonts w:ascii="Calibri" w:hAnsi="Calibri" w:cs="Calibri"/>
          <w:sz w:val="22"/>
          <w:szCs w:val="22"/>
        </w:rPr>
        <w:t>KoBold</w:t>
      </w:r>
      <w:proofErr w:type="spellEnd"/>
      <w:r>
        <w:rPr>
          <w:rFonts w:ascii="Calibri" w:hAnsi="Calibri" w:cs="Calibri"/>
          <w:sz w:val="22"/>
          <w:szCs w:val="22"/>
        </w:rPr>
        <w:t xml:space="preserve"> Metals (‘</w:t>
      </w:r>
      <w:proofErr w:type="spellStart"/>
      <w:r>
        <w:rPr>
          <w:rFonts w:ascii="Calibri" w:hAnsi="Calibri" w:cs="Calibri"/>
          <w:sz w:val="22"/>
          <w:szCs w:val="22"/>
        </w:rPr>
        <w:t>KoBold</w:t>
      </w:r>
      <w:proofErr w:type="spellEnd"/>
      <w:r>
        <w:rPr>
          <w:rFonts w:ascii="Calibri" w:hAnsi="Calibri" w:cs="Calibri"/>
          <w:sz w:val="22"/>
          <w:szCs w:val="22"/>
        </w:rPr>
        <w:t xml:space="preserve">’) the Company announced the incorporation of the JV company, </w:t>
      </w:r>
      <w:proofErr w:type="spellStart"/>
      <w:r>
        <w:rPr>
          <w:rFonts w:ascii="Calibri" w:hAnsi="Calibri" w:cs="Calibri"/>
          <w:sz w:val="22"/>
          <w:szCs w:val="22"/>
        </w:rPr>
        <w:t>Nikkeli</w:t>
      </w:r>
      <w:proofErr w:type="spellEnd"/>
      <w:r>
        <w:rPr>
          <w:rFonts w:ascii="Calibri" w:hAnsi="Calibri" w:cs="Calibri"/>
          <w:sz w:val="22"/>
          <w:szCs w:val="22"/>
        </w:rPr>
        <w:t xml:space="preserve"> Greenland A/S (‘</w:t>
      </w:r>
      <w:proofErr w:type="spellStart"/>
      <w:r>
        <w:rPr>
          <w:rFonts w:ascii="Calibri" w:hAnsi="Calibri" w:cs="Calibri"/>
          <w:sz w:val="22"/>
          <w:szCs w:val="22"/>
        </w:rPr>
        <w:t>Nikkeli</w:t>
      </w:r>
      <w:proofErr w:type="spellEnd"/>
      <w:r>
        <w:rPr>
          <w:rFonts w:ascii="Calibri" w:hAnsi="Calibri" w:cs="Calibri"/>
          <w:sz w:val="22"/>
          <w:szCs w:val="22"/>
        </w:rPr>
        <w:t xml:space="preserve">’). Over a year on from its announcement of the JV, this is still exciting for the Company. </w:t>
      </w:r>
      <w:r>
        <w:rPr>
          <w:rFonts w:ascii="Calibri" w:hAnsi="Calibri" w:cs="Calibri"/>
          <w:sz w:val="22"/>
          <w:szCs w:val="22"/>
        </w:rPr>
        <w:lastRenderedPageBreak/>
        <w:t xml:space="preserve">We strongly believe that our in-country expertise, together with </w:t>
      </w:r>
      <w:proofErr w:type="spellStart"/>
      <w:r>
        <w:rPr>
          <w:rFonts w:ascii="Calibri" w:hAnsi="Calibri" w:cs="Calibri"/>
          <w:sz w:val="22"/>
          <w:szCs w:val="22"/>
        </w:rPr>
        <w:t>KoBold’s</w:t>
      </w:r>
      <w:proofErr w:type="spellEnd"/>
      <w:r>
        <w:rPr>
          <w:rFonts w:ascii="Calibri" w:hAnsi="Calibri" w:cs="Calibri"/>
          <w:sz w:val="22"/>
          <w:szCs w:val="22"/>
        </w:rPr>
        <w:t xml:space="preserve"> </w:t>
      </w:r>
      <w:proofErr w:type="gramStart"/>
      <w:r>
        <w:rPr>
          <w:rFonts w:ascii="Calibri" w:hAnsi="Calibri" w:cs="Calibri"/>
          <w:sz w:val="22"/>
          <w:szCs w:val="22"/>
        </w:rPr>
        <w:t>cutting edge</w:t>
      </w:r>
      <w:proofErr w:type="gramEnd"/>
      <w:r>
        <w:rPr>
          <w:rFonts w:ascii="Calibri" w:hAnsi="Calibri" w:cs="Calibri"/>
          <w:sz w:val="22"/>
          <w:szCs w:val="22"/>
        </w:rPr>
        <w:t xml:space="preserve"> technology, will lead to the discovery of </w:t>
      </w:r>
      <w:r w:rsidRPr="00EA7EA0">
        <w:rPr>
          <w:rFonts w:ascii="Calibri" w:hAnsi="Calibri" w:cs="Calibri"/>
          <w:sz w:val="22"/>
          <w:szCs w:val="22"/>
        </w:rPr>
        <w:t>a game-changing asset hosting an abundance of metals critical to the green</w:t>
      </w:r>
      <w:r>
        <w:rPr>
          <w:rFonts w:ascii="Calibri" w:hAnsi="Calibri" w:cs="Calibri"/>
          <w:sz w:val="22"/>
          <w:szCs w:val="22"/>
        </w:rPr>
        <w:t xml:space="preserve"> </w:t>
      </w:r>
      <w:r w:rsidRPr="00EA7EA0">
        <w:rPr>
          <w:rFonts w:ascii="Calibri" w:hAnsi="Calibri" w:cs="Calibri"/>
          <w:sz w:val="22"/>
          <w:szCs w:val="22"/>
        </w:rPr>
        <w:t>revolution</w:t>
      </w:r>
      <w:r>
        <w:rPr>
          <w:rFonts w:ascii="Calibri" w:hAnsi="Calibri" w:cs="Calibri"/>
          <w:sz w:val="22"/>
          <w:szCs w:val="22"/>
        </w:rPr>
        <w:t>.</w:t>
      </w:r>
    </w:p>
    <w:p w14:paraId="575C7BF5" w14:textId="77777777" w:rsidR="00B74D7A" w:rsidRDefault="00B74D7A" w:rsidP="00B74D7A">
      <w:pPr>
        <w:spacing w:line="276" w:lineRule="auto"/>
        <w:jc w:val="both"/>
        <w:rPr>
          <w:rFonts w:ascii="Calibri" w:hAnsi="Calibri" w:cs="Calibri"/>
          <w:sz w:val="22"/>
          <w:szCs w:val="22"/>
        </w:rPr>
      </w:pPr>
    </w:p>
    <w:p w14:paraId="120C48D6" w14:textId="6BA7D618" w:rsidR="00B74D7A" w:rsidRPr="008F0B18" w:rsidRDefault="00B74D7A" w:rsidP="00B74D7A">
      <w:pPr>
        <w:spacing w:line="276" w:lineRule="auto"/>
        <w:jc w:val="both"/>
        <w:rPr>
          <w:rFonts w:ascii="Calibri" w:hAnsi="Calibri" w:cs="Calibri"/>
          <w:sz w:val="22"/>
          <w:szCs w:val="22"/>
        </w:rPr>
      </w:pPr>
      <w:r>
        <w:rPr>
          <w:rFonts w:ascii="Calibri" w:hAnsi="Calibri" w:cs="Calibri"/>
          <w:sz w:val="22"/>
          <w:szCs w:val="22"/>
        </w:rPr>
        <w:t>The Company was delighted to receive official support from ERMA</w:t>
      </w:r>
      <w:r w:rsidRPr="008C2061">
        <w:rPr>
          <w:rFonts w:ascii="Calibri" w:hAnsi="Calibri" w:cs="Calibri"/>
          <w:sz w:val="22"/>
          <w:szCs w:val="22"/>
        </w:rPr>
        <w:t xml:space="preserve"> for Dundas </w:t>
      </w:r>
      <w:r>
        <w:rPr>
          <w:rFonts w:ascii="Calibri" w:hAnsi="Calibri" w:cs="Calibri"/>
          <w:sz w:val="22"/>
          <w:szCs w:val="22"/>
        </w:rPr>
        <w:t xml:space="preserve">which has enabled ERMA to </w:t>
      </w:r>
      <w:r w:rsidRPr="004F25A8">
        <w:rPr>
          <w:rFonts w:ascii="Calibri" w:hAnsi="Calibri" w:cs="Calibri"/>
          <w:sz w:val="22"/>
          <w:szCs w:val="22"/>
        </w:rPr>
        <w:t>secure supply of Dundas ilmenite for end users within the European Union</w:t>
      </w:r>
      <w:r>
        <w:rPr>
          <w:rFonts w:ascii="Calibri" w:hAnsi="Calibri" w:cs="Calibri"/>
          <w:sz w:val="22"/>
          <w:szCs w:val="22"/>
        </w:rPr>
        <w:t xml:space="preserve"> (‘EU’). This followed Dundas’ publication of the E</w:t>
      </w:r>
      <w:r w:rsidRPr="007123F4">
        <w:rPr>
          <w:rFonts w:ascii="Calibri" w:hAnsi="Calibri" w:cs="Calibri"/>
          <w:sz w:val="22"/>
          <w:szCs w:val="22"/>
        </w:rPr>
        <w:t>lectronic Nautical Charts ('ENCs')</w:t>
      </w:r>
      <w:r>
        <w:rPr>
          <w:rFonts w:ascii="Calibri" w:hAnsi="Calibri" w:cs="Calibri"/>
          <w:sz w:val="22"/>
          <w:szCs w:val="22"/>
        </w:rPr>
        <w:t xml:space="preserve"> w</w:t>
      </w:r>
      <w:r w:rsidRPr="007123F4">
        <w:rPr>
          <w:rFonts w:ascii="Calibri" w:hAnsi="Calibri" w:cs="Calibri"/>
          <w:sz w:val="22"/>
          <w:szCs w:val="22"/>
        </w:rPr>
        <w:t>hich covers the key seaward approach and coastal waters</w:t>
      </w:r>
      <w:r>
        <w:rPr>
          <w:rFonts w:ascii="Calibri" w:hAnsi="Calibri" w:cs="Calibri"/>
          <w:sz w:val="22"/>
          <w:szCs w:val="22"/>
        </w:rPr>
        <w:t xml:space="preserve"> of the project. </w:t>
      </w:r>
      <w:r w:rsidRPr="00F72EA1">
        <w:rPr>
          <w:rFonts w:ascii="Calibri" w:hAnsi="Calibri" w:cs="Calibri"/>
          <w:sz w:val="22"/>
          <w:szCs w:val="22"/>
        </w:rPr>
        <w:t xml:space="preserve">Both of these developments are extremely important to the </w:t>
      </w:r>
      <w:r>
        <w:rPr>
          <w:rFonts w:ascii="Calibri" w:hAnsi="Calibri" w:cs="Calibri"/>
          <w:sz w:val="22"/>
          <w:szCs w:val="22"/>
        </w:rPr>
        <w:t>progression</w:t>
      </w:r>
      <w:r w:rsidRPr="00F72EA1">
        <w:rPr>
          <w:rFonts w:ascii="Calibri" w:hAnsi="Calibri" w:cs="Calibri"/>
          <w:sz w:val="22"/>
          <w:szCs w:val="22"/>
        </w:rPr>
        <w:t xml:space="preserve"> </w:t>
      </w:r>
      <w:proofErr w:type="gramStart"/>
      <w:r w:rsidRPr="00F72EA1">
        <w:rPr>
          <w:rFonts w:ascii="Calibri" w:hAnsi="Calibri" w:cs="Calibri"/>
          <w:sz w:val="22"/>
          <w:szCs w:val="22"/>
        </w:rPr>
        <w:t>of</w:t>
      </w:r>
      <w:r w:rsidR="00B50762">
        <w:rPr>
          <w:rFonts w:ascii="Calibri" w:hAnsi="Calibri" w:cs="Calibri"/>
          <w:sz w:val="22"/>
          <w:szCs w:val="22"/>
        </w:rPr>
        <w:t xml:space="preserve">  Dundas</w:t>
      </w:r>
      <w:proofErr w:type="gramEnd"/>
      <w:r w:rsidRPr="00F72EA1">
        <w:rPr>
          <w:rFonts w:ascii="Calibri" w:hAnsi="Calibri" w:cs="Calibri"/>
          <w:sz w:val="22"/>
          <w:szCs w:val="22"/>
        </w:rPr>
        <w:t xml:space="preserve">. Sustainability is extremely important to </w:t>
      </w:r>
      <w:proofErr w:type="spellStart"/>
      <w:r w:rsidRPr="00F72EA1">
        <w:rPr>
          <w:rFonts w:ascii="Calibri" w:hAnsi="Calibri" w:cs="Calibri"/>
          <w:sz w:val="22"/>
          <w:szCs w:val="22"/>
        </w:rPr>
        <w:t>Bluejay</w:t>
      </w:r>
      <w:proofErr w:type="spellEnd"/>
      <w:r w:rsidRPr="00F72EA1">
        <w:rPr>
          <w:rFonts w:ascii="Calibri" w:hAnsi="Calibri" w:cs="Calibri"/>
          <w:sz w:val="22"/>
          <w:szCs w:val="22"/>
        </w:rPr>
        <w:t xml:space="preserve"> and at the forefront of every decision the Company makes. This is part of the reason why our relationship with ERMA is especially important to us. </w:t>
      </w:r>
      <w:r w:rsidRPr="00F72EA1">
        <w:rPr>
          <w:rFonts w:ascii="Calibri" w:hAnsi="Calibri" w:cs="Calibri"/>
          <w:color w:val="000000"/>
          <w:sz w:val="22"/>
          <w:szCs w:val="22"/>
        </w:rPr>
        <w:t xml:space="preserve">Its underlying principles </w:t>
      </w:r>
      <w:r w:rsidRPr="008F0B18">
        <w:rPr>
          <w:rFonts w:ascii="Calibri" w:hAnsi="Calibri" w:cs="Calibri"/>
          <w:color w:val="000000"/>
          <w:sz w:val="22"/>
          <w:szCs w:val="22"/>
        </w:rPr>
        <w:t>are compatible</w:t>
      </w:r>
      <w:r w:rsidRPr="00F72EA1">
        <w:rPr>
          <w:rFonts w:ascii="Calibri" w:hAnsi="Calibri" w:cs="Calibri"/>
          <w:color w:val="000000"/>
          <w:sz w:val="22"/>
          <w:szCs w:val="22"/>
        </w:rPr>
        <w:t xml:space="preserve"> with </w:t>
      </w:r>
      <w:r w:rsidRPr="008F0B18">
        <w:rPr>
          <w:rFonts w:ascii="Calibri" w:hAnsi="Calibri" w:cs="Calibri"/>
          <w:color w:val="000000"/>
          <w:sz w:val="22"/>
          <w:szCs w:val="22"/>
        </w:rPr>
        <w:t xml:space="preserve">the way in which </w:t>
      </w:r>
      <w:proofErr w:type="spellStart"/>
      <w:r w:rsidRPr="00F72EA1">
        <w:rPr>
          <w:rFonts w:ascii="Calibri" w:hAnsi="Calibri" w:cs="Calibri"/>
          <w:color w:val="000000"/>
          <w:sz w:val="22"/>
          <w:szCs w:val="22"/>
        </w:rPr>
        <w:t>Bluejay</w:t>
      </w:r>
      <w:proofErr w:type="spellEnd"/>
      <w:r w:rsidRPr="008F0B18">
        <w:rPr>
          <w:rFonts w:ascii="Calibri" w:hAnsi="Calibri" w:cs="Calibri"/>
          <w:color w:val="000000"/>
          <w:sz w:val="22"/>
          <w:szCs w:val="22"/>
        </w:rPr>
        <w:t xml:space="preserve"> holds itself accountable</w:t>
      </w:r>
      <w:r w:rsidRPr="00F72EA1">
        <w:rPr>
          <w:rFonts w:ascii="Calibri" w:hAnsi="Calibri" w:cs="Calibri"/>
          <w:color w:val="000000"/>
          <w:sz w:val="22"/>
          <w:szCs w:val="22"/>
        </w:rPr>
        <w:t xml:space="preserve"> </w:t>
      </w:r>
      <w:proofErr w:type="gramStart"/>
      <w:r w:rsidRPr="008F0B18">
        <w:rPr>
          <w:rFonts w:ascii="Calibri" w:hAnsi="Calibri" w:cs="Calibri"/>
          <w:color w:val="000000"/>
          <w:sz w:val="22"/>
          <w:szCs w:val="22"/>
        </w:rPr>
        <w:t>in regard to</w:t>
      </w:r>
      <w:proofErr w:type="gramEnd"/>
      <w:r w:rsidRPr="008F0B18">
        <w:rPr>
          <w:rFonts w:ascii="Calibri" w:hAnsi="Calibri" w:cs="Calibri"/>
          <w:color w:val="000000"/>
          <w:sz w:val="22"/>
          <w:szCs w:val="22"/>
        </w:rPr>
        <w:t xml:space="preserve"> sustainability, as well as its </w:t>
      </w:r>
      <w:r w:rsidRPr="00F72EA1">
        <w:rPr>
          <w:rFonts w:ascii="Calibri" w:hAnsi="Calibri" w:cs="Calibri"/>
          <w:color w:val="000000"/>
          <w:sz w:val="22"/>
          <w:szCs w:val="22"/>
        </w:rPr>
        <w:t>vision and philosophy for Dundas</w:t>
      </w:r>
      <w:r w:rsidRPr="008F0B18">
        <w:rPr>
          <w:rFonts w:ascii="Calibri" w:hAnsi="Calibri" w:cs="Calibri"/>
          <w:color w:val="000000"/>
          <w:sz w:val="22"/>
          <w:szCs w:val="22"/>
        </w:rPr>
        <w:t>, and the rest of its portfolio of assets.</w:t>
      </w:r>
    </w:p>
    <w:p w14:paraId="7C53039E" w14:textId="77777777" w:rsidR="00B74D7A" w:rsidRDefault="00B74D7A" w:rsidP="00B74D7A">
      <w:pPr>
        <w:spacing w:line="276" w:lineRule="auto"/>
        <w:jc w:val="both"/>
        <w:rPr>
          <w:rFonts w:ascii="Calibri" w:hAnsi="Calibri" w:cs="Calibri"/>
          <w:sz w:val="22"/>
          <w:szCs w:val="22"/>
        </w:rPr>
      </w:pPr>
    </w:p>
    <w:p w14:paraId="0D18D33B" w14:textId="20CD4025"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In line with the advancement of our business, including the successful transition of several of the Company’s larger assets into mining licences, JV’s and other value creating opportunities, we have undergone changes at a Board level, notably the appointment of </w:t>
      </w:r>
      <w:r w:rsidRPr="00B422C2">
        <w:rPr>
          <w:rFonts w:ascii="Calibri" w:hAnsi="Calibri" w:cs="Calibri"/>
          <w:sz w:val="22"/>
          <w:szCs w:val="22"/>
        </w:rPr>
        <w:t xml:space="preserve">Eric </w:t>
      </w:r>
      <w:proofErr w:type="spellStart"/>
      <w:r w:rsidRPr="00B422C2">
        <w:rPr>
          <w:rFonts w:ascii="Calibri" w:hAnsi="Calibri" w:cs="Calibri"/>
          <w:sz w:val="22"/>
          <w:szCs w:val="22"/>
        </w:rPr>
        <w:t>Sondergaard</w:t>
      </w:r>
      <w:proofErr w:type="spellEnd"/>
      <w:r>
        <w:rPr>
          <w:rFonts w:ascii="Calibri" w:hAnsi="Calibri" w:cs="Calibri"/>
          <w:sz w:val="22"/>
          <w:szCs w:val="22"/>
        </w:rPr>
        <w:t xml:space="preserve"> to the </w:t>
      </w:r>
      <w:r w:rsidRPr="000276A8">
        <w:rPr>
          <w:rFonts w:ascii="Calibri" w:hAnsi="Calibri" w:cs="Calibri"/>
          <w:sz w:val="22"/>
          <w:szCs w:val="22"/>
        </w:rPr>
        <w:t>Board as an Executive Director</w:t>
      </w:r>
      <w:r>
        <w:rPr>
          <w:rFonts w:ascii="Calibri" w:hAnsi="Calibri" w:cs="Calibri"/>
          <w:sz w:val="22"/>
          <w:szCs w:val="22"/>
        </w:rPr>
        <w:t xml:space="preserve">. Elsewhere, during the Period we announced the resignation of </w:t>
      </w:r>
      <w:r w:rsidRPr="0006590A">
        <w:rPr>
          <w:rFonts w:ascii="Calibri" w:hAnsi="Calibri" w:cs="Calibri"/>
          <w:sz w:val="22"/>
          <w:szCs w:val="22"/>
        </w:rPr>
        <w:t xml:space="preserve">Rod </w:t>
      </w:r>
      <w:proofErr w:type="spellStart"/>
      <w:r w:rsidRPr="0006590A">
        <w:rPr>
          <w:rFonts w:ascii="Calibri" w:hAnsi="Calibri" w:cs="Calibri"/>
          <w:sz w:val="22"/>
          <w:szCs w:val="22"/>
        </w:rPr>
        <w:t>McI</w:t>
      </w:r>
      <w:r>
        <w:rPr>
          <w:rFonts w:ascii="Calibri" w:hAnsi="Calibri" w:cs="Calibri"/>
          <w:sz w:val="22"/>
          <w:szCs w:val="22"/>
        </w:rPr>
        <w:t>l</w:t>
      </w:r>
      <w:r w:rsidRPr="0006590A">
        <w:rPr>
          <w:rFonts w:ascii="Calibri" w:hAnsi="Calibri" w:cs="Calibri"/>
          <w:sz w:val="22"/>
          <w:szCs w:val="22"/>
        </w:rPr>
        <w:t>lree</w:t>
      </w:r>
      <w:proofErr w:type="spellEnd"/>
      <w:r>
        <w:rPr>
          <w:rFonts w:ascii="Calibri" w:hAnsi="Calibri" w:cs="Calibri"/>
          <w:sz w:val="22"/>
          <w:szCs w:val="22"/>
        </w:rPr>
        <w:t xml:space="preserve"> from the Company, </w:t>
      </w:r>
      <w:r w:rsidRPr="00A85835">
        <w:rPr>
          <w:rFonts w:ascii="Calibri" w:hAnsi="Calibri" w:cs="Calibri"/>
          <w:sz w:val="22"/>
          <w:szCs w:val="22"/>
        </w:rPr>
        <w:t>leaving his role as Executive Chairman</w:t>
      </w:r>
      <w:r>
        <w:rPr>
          <w:rFonts w:ascii="Calibri" w:hAnsi="Calibri" w:cs="Calibri"/>
          <w:sz w:val="22"/>
          <w:szCs w:val="22"/>
        </w:rPr>
        <w:t>. On behalf of the Board, I would like to repeat our gratitude to Rod for his contributions to the Company, particularly his w</w:t>
      </w:r>
      <w:r w:rsidRPr="002A50C9">
        <w:rPr>
          <w:rFonts w:ascii="Calibri" w:hAnsi="Calibri" w:cs="Calibri"/>
          <w:sz w:val="22"/>
          <w:szCs w:val="22"/>
        </w:rPr>
        <w:t xml:space="preserve">ork on driving the formation of a portfolio of </w:t>
      </w:r>
      <w:proofErr w:type="gramStart"/>
      <w:r w:rsidRPr="002A50C9">
        <w:rPr>
          <w:rFonts w:ascii="Calibri" w:hAnsi="Calibri" w:cs="Calibri"/>
          <w:sz w:val="22"/>
          <w:szCs w:val="22"/>
        </w:rPr>
        <w:t>high quality</w:t>
      </w:r>
      <w:proofErr w:type="gramEnd"/>
      <w:r w:rsidRPr="002A50C9">
        <w:rPr>
          <w:rFonts w:ascii="Calibri" w:hAnsi="Calibri" w:cs="Calibri"/>
          <w:sz w:val="22"/>
          <w:szCs w:val="22"/>
        </w:rPr>
        <w:t xml:space="preserve"> assets. A portfolio that is in the most exciting and progressive phase of its history</w:t>
      </w:r>
      <w:r>
        <w:rPr>
          <w:rFonts w:ascii="Calibri" w:hAnsi="Calibri" w:cs="Calibri"/>
          <w:sz w:val="22"/>
          <w:szCs w:val="22"/>
        </w:rPr>
        <w:t xml:space="preserve">. Whilst </w:t>
      </w:r>
      <w:proofErr w:type="spellStart"/>
      <w:r>
        <w:rPr>
          <w:rFonts w:ascii="Calibri" w:hAnsi="Calibri" w:cs="Calibri"/>
          <w:sz w:val="22"/>
          <w:szCs w:val="22"/>
        </w:rPr>
        <w:t>Bluejay</w:t>
      </w:r>
      <w:proofErr w:type="spellEnd"/>
      <w:r>
        <w:rPr>
          <w:rFonts w:ascii="Calibri" w:hAnsi="Calibri" w:cs="Calibri"/>
          <w:sz w:val="22"/>
          <w:szCs w:val="22"/>
        </w:rPr>
        <w:t xml:space="preserve"> has progressed its search for a replacement to Rod </w:t>
      </w:r>
      <w:proofErr w:type="spellStart"/>
      <w:r>
        <w:rPr>
          <w:rFonts w:ascii="Calibri" w:hAnsi="Calibri" w:cs="Calibri"/>
          <w:sz w:val="22"/>
          <w:szCs w:val="22"/>
        </w:rPr>
        <w:t>McIllree</w:t>
      </w:r>
      <w:proofErr w:type="spellEnd"/>
      <w:r>
        <w:rPr>
          <w:rFonts w:ascii="Calibri" w:hAnsi="Calibri" w:cs="Calibri"/>
          <w:sz w:val="22"/>
          <w:szCs w:val="22"/>
        </w:rPr>
        <w:t xml:space="preserve">, I am proud to take the role up once again, albeit in an interim position, as the Company’s Interim Non-Executive Chairman, and hope that my experience helps maintain continuity at this time, and aids </w:t>
      </w:r>
      <w:r w:rsidRPr="0039640B">
        <w:rPr>
          <w:rFonts w:ascii="Calibri" w:hAnsi="Calibri" w:cs="Calibri"/>
          <w:sz w:val="22"/>
          <w:szCs w:val="22"/>
        </w:rPr>
        <w:t>in the search for the future Chairman</w:t>
      </w:r>
      <w:r>
        <w:rPr>
          <w:rFonts w:ascii="Calibri" w:hAnsi="Calibri" w:cs="Calibri"/>
          <w:sz w:val="22"/>
          <w:szCs w:val="22"/>
        </w:rPr>
        <w:t>, which is progressing well.</w:t>
      </w:r>
    </w:p>
    <w:p w14:paraId="0C6C2A32" w14:textId="77777777" w:rsidR="00B74D7A" w:rsidRPr="009109BA" w:rsidRDefault="00B74D7A" w:rsidP="00B74D7A">
      <w:pPr>
        <w:spacing w:line="276" w:lineRule="auto"/>
        <w:jc w:val="both"/>
        <w:rPr>
          <w:rFonts w:ascii="Calibri" w:hAnsi="Calibri" w:cs="Calibri"/>
          <w:sz w:val="22"/>
          <w:szCs w:val="22"/>
        </w:rPr>
      </w:pPr>
    </w:p>
    <w:p w14:paraId="2C9B76A3" w14:textId="77777777" w:rsidR="00B74D7A" w:rsidRDefault="00B74D7A" w:rsidP="00B74D7A">
      <w:pPr>
        <w:spacing w:line="276" w:lineRule="auto"/>
        <w:jc w:val="both"/>
        <w:rPr>
          <w:rFonts w:ascii="Calibri" w:hAnsi="Calibri" w:cs="Calibri"/>
          <w:b/>
          <w:bCs/>
          <w:sz w:val="22"/>
          <w:szCs w:val="22"/>
        </w:rPr>
      </w:pPr>
      <w:r w:rsidRPr="00E33E62">
        <w:rPr>
          <w:rFonts w:ascii="Calibri" w:hAnsi="Calibri" w:cs="Calibri"/>
          <w:b/>
          <w:bCs/>
          <w:sz w:val="22"/>
          <w:szCs w:val="22"/>
        </w:rPr>
        <w:t>Financial</w:t>
      </w:r>
    </w:p>
    <w:p w14:paraId="63232713" w14:textId="77777777" w:rsidR="00B74D7A" w:rsidRPr="00E33E62" w:rsidRDefault="00B74D7A" w:rsidP="00B74D7A">
      <w:pPr>
        <w:spacing w:line="276" w:lineRule="auto"/>
        <w:jc w:val="both"/>
        <w:rPr>
          <w:rFonts w:ascii="Calibri" w:hAnsi="Calibri" w:cs="Calibri"/>
          <w:b/>
          <w:bCs/>
          <w:sz w:val="22"/>
          <w:szCs w:val="22"/>
        </w:rPr>
      </w:pPr>
    </w:p>
    <w:p w14:paraId="569EF844" w14:textId="77777777" w:rsidR="00B74D7A" w:rsidRDefault="00B74D7A" w:rsidP="00B74D7A">
      <w:pPr>
        <w:spacing w:line="276" w:lineRule="auto"/>
        <w:jc w:val="both"/>
        <w:rPr>
          <w:rFonts w:ascii="Calibri" w:hAnsi="Calibri" w:cs="Calibri"/>
          <w:bCs/>
          <w:sz w:val="22"/>
          <w:szCs w:val="22"/>
        </w:rPr>
      </w:pPr>
      <w:r>
        <w:rPr>
          <w:rFonts w:ascii="Calibri" w:hAnsi="Calibri" w:cs="Calibri"/>
          <w:bCs/>
          <w:sz w:val="22"/>
          <w:szCs w:val="22"/>
        </w:rPr>
        <w:t>Both the Disko-</w:t>
      </w:r>
      <w:proofErr w:type="spellStart"/>
      <w:r>
        <w:rPr>
          <w:rFonts w:ascii="Calibri" w:hAnsi="Calibri" w:cs="Calibri"/>
          <w:bCs/>
          <w:sz w:val="22"/>
          <w:szCs w:val="22"/>
        </w:rPr>
        <w:t>Nuussuaq</w:t>
      </w:r>
      <w:proofErr w:type="spellEnd"/>
      <w:r>
        <w:rPr>
          <w:rFonts w:ascii="Calibri" w:hAnsi="Calibri" w:cs="Calibri"/>
          <w:bCs/>
          <w:sz w:val="22"/>
          <w:szCs w:val="22"/>
        </w:rPr>
        <w:t xml:space="preserve"> and Enonkoski projects have the next phases of their exploration funded. The $7 million (£5.38 million) fundraise, supported by the Company’s institutional shareholders, is funding the various works that is enabling the Company to complete the definitive feasibility study required for Dundas to continue progression towards production. The fundraise saw a major UK institution enter as a new shareholder of the Company and our Greenlandic and Danish Government-backed investors increased their holdings in the raise. </w:t>
      </w:r>
    </w:p>
    <w:p w14:paraId="2BA725EA" w14:textId="77777777" w:rsidR="00B74D7A" w:rsidRPr="00E33E62" w:rsidRDefault="00B74D7A" w:rsidP="00B74D7A">
      <w:pPr>
        <w:spacing w:line="276" w:lineRule="auto"/>
        <w:jc w:val="both"/>
        <w:rPr>
          <w:rFonts w:ascii="Calibri" w:hAnsi="Calibri" w:cs="Calibri"/>
          <w:b/>
          <w:sz w:val="22"/>
          <w:szCs w:val="22"/>
        </w:rPr>
      </w:pPr>
    </w:p>
    <w:p w14:paraId="46665A59" w14:textId="77777777" w:rsidR="00B74D7A" w:rsidRPr="00E33E62" w:rsidRDefault="00B74D7A" w:rsidP="00B74D7A">
      <w:pPr>
        <w:spacing w:line="276" w:lineRule="auto"/>
        <w:jc w:val="both"/>
        <w:rPr>
          <w:rFonts w:ascii="Calibri" w:hAnsi="Calibri" w:cs="Calibri"/>
          <w:b/>
          <w:sz w:val="22"/>
          <w:szCs w:val="22"/>
        </w:rPr>
      </w:pPr>
      <w:r w:rsidRPr="00E33E62">
        <w:rPr>
          <w:rFonts w:ascii="Calibri" w:hAnsi="Calibri" w:cs="Calibri"/>
          <w:b/>
          <w:sz w:val="22"/>
          <w:szCs w:val="22"/>
        </w:rPr>
        <w:t>Greenland</w:t>
      </w:r>
    </w:p>
    <w:p w14:paraId="5FA4E817" w14:textId="77777777" w:rsidR="00B74D7A" w:rsidRDefault="00B74D7A" w:rsidP="00B74D7A">
      <w:pPr>
        <w:spacing w:line="276" w:lineRule="auto"/>
        <w:jc w:val="both"/>
        <w:rPr>
          <w:rFonts w:ascii="Calibri" w:hAnsi="Calibri" w:cs="Calibri"/>
          <w:sz w:val="22"/>
          <w:szCs w:val="22"/>
        </w:rPr>
      </w:pPr>
    </w:p>
    <w:p w14:paraId="54689970" w14:textId="77777777" w:rsidR="00B74D7A" w:rsidRPr="0039640B" w:rsidRDefault="00B74D7A" w:rsidP="00B74D7A">
      <w:pPr>
        <w:spacing w:line="276" w:lineRule="auto"/>
        <w:jc w:val="both"/>
        <w:rPr>
          <w:rFonts w:asciiTheme="minorHAnsi" w:hAnsiTheme="minorHAnsi" w:cstheme="minorHAnsi"/>
          <w:bCs/>
          <w:sz w:val="22"/>
          <w:szCs w:val="22"/>
        </w:rPr>
      </w:pPr>
      <w:r w:rsidRPr="0039640B">
        <w:rPr>
          <w:rFonts w:asciiTheme="minorHAnsi" w:hAnsiTheme="minorHAnsi" w:cstheme="minorHAnsi"/>
          <w:sz w:val="22"/>
          <w:szCs w:val="22"/>
        </w:rPr>
        <w:t xml:space="preserve">For our fully permitted </w:t>
      </w:r>
      <w:proofErr w:type="gramStart"/>
      <w:r w:rsidRPr="0039640B">
        <w:rPr>
          <w:rFonts w:asciiTheme="minorHAnsi" w:hAnsiTheme="minorHAnsi" w:cstheme="minorHAnsi"/>
          <w:sz w:val="22"/>
          <w:szCs w:val="22"/>
        </w:rPr>
        <w:t>Dundas</w:t>
      </w:r>
      <w:proofErr w:type="gramEnd"/>
      <w:r w:rsidRPr="0039640B">
        <w:rPr>
          <w:rFonts w:asciiTheme="minorHAnsi" w:hAnsiTheme="minorHAnsi" w:cstheme="minorHAnsi"/>
          <w:sz w:val="22"/>
          <w:szCs w:val="22"/>
        </w:rPr>
        <w:t xml:space="preserve"> project, we raised funds in March for continuing and completing the </w:t>
      </w:r>
      <w:r w:rsidRPr="0039640B">
        <w:rPr>
          <w:rFonts w:asciiTheme="minorHAnsi" w:hAnsiTheme="minorHAnsi" w:cstheme="minorHAnsi"/>
          <w:bCs/>
          <w:sz w:val="22"/>
          <w:szCs w:val="22"/>
        </w:rPr>
        <w:t>definitive feasibility study. The</w:t>
      </w:r>
      <w:r>
        <w:rPr>
          <w:rFonts w:asciiTheme="minorHAnsi" w:hAnsiTheme="minorHAnsi" w:cstheme="minorHAnsi"/>
          <w:bCs/>
          <w:sz w:val="22"/>
          <w:szCs w:val="22"/>
        </w:rPr>
        <w:t xml:space="preserve"> </w:t>
      </w:r>
      <w:r w:rsidRPr="0039640B">
        <w:rPr>
          <w:rFonts w:asciiTheme="minorHAnsi" w:hAnsiTheme="minorHAnsi" w:cstheme="minorHAnsi"/>
          <w:bCs/>
          <w:sz w:val="22"/>
          <w:szCs w:val="22"/>
        </w:rPr>
        <w:t xml:space="preserve">in-house Dundas team together with our mineral sands industry experts have been working in close collaboration </w:t>
      </w:r>
      <w:proofErr w:type="gramStart"/>
      <w:r w:rsidRPr="0039640B">
        <w:rPr>
          <w:rFonts w:asciiTheme="minorHAnsi" w:hAnsiTheme="minorHAnsi" w:cstheme="minorHAnsi"/>
          <w:bCs/>
          <w:sz w:val="22"/>
          <w:szCs w:val="22"/>
        </w:rPr>
        <w:t>with  our</w:t>
      </w:r>
      <w:proofErr w:type="gramEnd"/>
      <w:r w:rsidRPr="0039640B">
        <w:rPr>
          <w:rFonts w:asciiTheme="minorHAnsi" w:hAnsiTheme="minorHAnsi" w:cstheme="minorHAnsi"/>
          <w:bCs/>
          <w:sz w:val="22"/>
          <w:szCs w:val="22"/>
        </w:rPr>
        <w:t xml:space="preserve"> Lead-Arranger Bank and the certifying consultancy firm.</w:t>
      </w:r>
    </w:p>
    <w:p w14:paraId="4BD34AC8" w14:textId="77777777" w:rsidR="00B74D7A" w:rsidRPr="0039640B" w:rsidRDefault="00B74D7A" w:rsidP="00B74D7A">
      <w:pPr>
        <w:spacing w:line="276" w:lineRule="auto"/>
        <w:jc w:val="both"/>
        <w:rPr>
          <w:rFonts w:asciiTheme="minorHAnsi" w:hAnsiTheme="minorHAnsi" w:cstheme="minorHAnsi"/>
          <w:bCs/>
          <w:sz w:val="22"/>
          <w:szCs w:val="22"/>
          <w:highlight w:val="yellow"/>
        </w:rPr>
      </w:pPr>
    </w:p>
    <w:p w14:paraId="03E8C67B" w14:textId="77777777" w:rsidR="00B74D7A" w:rsidRPr="0039640B" w:rsidRDefault="00B74D7A" w:rsidP="00B74D7A">
      <w:pPr>
        <w:pStyle w:val="paragraph"/>
        <w:spacing w:before="0" w:beforeAutospacing="0" w:after="0" w:afterAutospacing="0"/>
        <w:jc w:val="both"/>
        <w:textAlignment w:val="baseline"/>
        <w:rPr>
          <w:rFonts w:asciiTheme="minorHAnsi" w:hAnsiTheme="minorHAnsi" w:cstheme="minorHAnsi"/>
          <w:sz w:val="22"/>
          <w:szCs w:val="22"/>
        </w:rPr>
      </w:pPr>
      <w:r w:rsidRPr="0039640B">
        <w:rPr>
          <w:rStyle w:val="normaltextrun"/>
          <w:rFonts w:asciiTheme="minorHAnsi" w:hAnsiTheme="minorHAnsi" w:cstheme="minorHAnsi"/>
          <w:sz w:val="22"/>
          <w:szCs w:val="22"/>
        </w:rPr>
        <w:t>After a pause of two years due to the Covid-19 restrictions, the Dundas team successfully completed the summer field programme of work at the project site in N</w:t>
      </w:r>
      <w:r>
        <w:rPr>
          <w:rStyle w:val="normaltextrun"/>
          <w:rFonts w:asciiTheme="minorHAnsi" w:hAnsiTheme="minorHAnsi" w:cstheme="minorHAnsi"/>
          <w:sz w:val="22"/>
          <w:szCs w:val="22"/>
        </w:rPr>
        <w:t>orth-</w:t>
      </w:r>
      <w:r w:rsidRPr="0039640B">
        <w:rPr>
          <w:rStyle w:val="normaltextrun"/>
          <w:rFonts w:asciiTheme="minorHAnsi" w:hAnsiTheme="minorHAnsi" w:cstheme="minorHAnsi"/>
          <w:sz w:val="22"/>
          <w:szCs w:val="22"/>
        </w:rPr>
        <w:t>W</w:t>
      </w:r>
      <w:r>
        <w:rPr>
          <w:rStyle w:val="normaltextrun"/>
          <w:rFonts w:asciiTheme="minorHAnsi" w:hAnsiTheme="minorHAnsi" w:cstheme="minorHAnsi"/>
          <w:sz w:val="22"/>
          <w:szCs w:val="22"/>
        </w:rPr>
        <w:t>est</w:t>
      </w:r>
      <w:r w:rsidRPr="0039640B">
        <w:rPr>
          <w:rStyle w:val="normaltextrun"/>
          <w:rFonts w:asciiTheme="minorHAnsi" w:hAnsiTheme="minorHAnsi" w:cstheme="minorHAnsi"/>
          <w:sz w:val="22"/>
          <w:szCs w:val="22"/>
        </w:rPr>
        <w:t xml:space="preserve"> Greenland. The successful and safe conclusion of the programme in mid-September continues to demonstrate </w:t>
      </w:r>
      <w:proofErr w:type="spellStart"/>
      <w:r w:rsidRPr="0039640B">
        <w:rPr>
          <w:rStyle w:val="normaltextrun"/>
          <w:rFonts w:asciiTheme="minorHAnsi" w:hAnsiTheme="minorHAnsi" w:cstheme="minorHAnsi"/>
          <w:sz w:val="22"/>
          <w:szCs w:val="22"/>
        </w:rPr>
        <w:t>Bluejay’s</w:t>
      </w:r>
      <w:proofErr w:type="spellEnd"/>
      <w:r w:rsidRPr="0039640B">
        <w:rPr>
          <w:rStyle w:val="normaltextrun"/>
          <w:rFonts w:asciiTheme="minorHAnsi" w:hAnsiTheme="minorHAnsi" w:cstheme="minorHAnsi"/>
          <w:sz w:val="22"/>
          <w:szCs w:val="22"/>
        </w:rPr>
        <w:t xml:space="preserve"> experience and competence in working in Greenland.</w:t>
      </w:r>
      <w:r w:rsidRPr="0039640B">
        <w:rPr>
          <w:rStyle w:val="eop"/>
          <w:rFonts w:asciiTheme="minorHAnsi" w:hAnsiTheme="minorHAnsi" w:cstheme="minorHAnsi"/>
          <w:sz w:val="22"/>
          <w:szCs w:val="22"/>
        </w:rPr>
        <w:t> </w:t>
      </w:r>
    </w:p>
    <w:p w14:paraId="14131EC6" w14:textId="77777777" w:rsidR="00B74D7A" w:rsidRPr="0039640B" w:rsidRDefault="00B74D7A" w:rsidP="00B74D7A">
      <w:pPr>
        <w:spacing w:line="276" w:lineRule="auto"/>
        <w:jc w:val="both"/>
        <w:rPr>
          <w:rFonts w:asciiTheme="minorHAnsi" w:hAnsiTheme="minorHAnsi" w:cstheme="minorHAnsi"/>
          <w:bCs/>
          <w:sz w:val="22"/>
          <w:szCs w:val="22"/>
          <w:highlight w:val="yellow"/>
        </w:rPr>
      </w:pPr>
    </w:p>
    <w:p w14:paraId="3C904D59" w14:textId="7D2294CB" w:rsidR="00B74D7A" w:rsidRPr="0039640B" w:rsidRDefault="00B74D7A" w:rsidP="00B74D7A">
      <w:pPr>
        <w:spacing w:line="276" w:lineRule="auto"/>
        <w:jc w:val="both"/>
        <w:rPr>
          <w:rFonts w:asciiTheme="minorHAnsi" w:hAnsiTheme="minorHAnsi" w:cstheme="minorHAnsi"/>
          <w:bCs/>
          <w:sz w:val="22"/>
          <w:szCs w:val="22"/>
        </w:rPr>
      </w:pPr>
      <w:r w:rsidRPr="0039640B">
        <w:rPr>
          <w:rFonts w:asciiTheme="minorHAnsi" w:hAnsiTheme="minorHAnsi" w:cstheme="minorHAnsi"/>
          <w:bCs/>
          <w:sz w:val="22"/>
          <w:szCs w:val="22"/>
        </w:rPr>
        <w:t xml:space="preserve">The works </w:t>
      </w:r>
      <w:r w:rsidR="00C77D28">
        <w:rPr>
          <w:rFonts w:asciiTheme="minorHAnsi" w:hAnsiTheme="minorHAnsi" w:cstheme="minorHAnsi"/>
          <w:bCs/>
          <w:sz w:val="22"/>
          <w:szCs w:val="22"/>
        </w:rPr>
        <w:t>required for the definitive feasibility study</w:t>
      </w:r>
      <w:r>
        <w:rPr>
          <w:rFonts w:asciiTheme="minorHAnsi" w:hAnsiTheme="minorHAnsi" w:cstheme="minorHAnsi"/>
          <w:bCs/>
          <w:sz w:val="22"/>
          <w:szCs w:val="22"/>
        </w:rPr>
        <w:t xml:space="preserve"> </w:t>
      </w:r>
      <w:r w:rsidRPr="0039640B">
        <w:rPr>
          <w:rFonts w:asciiTheme="minorHAnsi" w:hAnsiTheme="minorHAnsi" w:cstheme="minorHAnsi"/>
          <w:bCs/>
          <w:sz w:val="22"/>
          <w:szCs w:val="22"/>
        </w:rPr>
        <w:t xml:space="preserve">comprised </w:t>
      </w:r>
      <w:proofErr w:type="gramStart"/>
      <w:r w:rsidRPr="0039640B">
        <w:rPr>
          <w:rFonts w:asciiTheme="minorHAnsi" w:hAnsiTheme="minorHAnsi" w:cstheme="minorHAnsi"/>
          <w:bCs/>
          <w:sz w:val="22"/>
          <w:szCs w:val="22"/>
        </w:rPr>
        <w:t>of</w:t>
      </w:r>
      <w:r>
        <w:rPr>
          <w:rFonts w:asciiTheme="minorHAnsi" w:hAnsiTheme="minorHAnsi" w:cstheme="minorHAnsi"/>
          <w:bCs/>
          <w:sz w:val="22"/>
          <w:szCs w:val="22"/>
        </w:rPr>
        <w:t>:</w:t>
      </w:r>
      <w:proofErr w:type="gramEnd"/>
      <w:r>
        <w:rPr>
          <w:rFonts w:asciiTheme="minorHAnsi" w:hAnsiTheme="minorHAnsi" w:cstheme="minorHAnsi"/>
          <w:bCs/>
          <w:sz w:val="22"/>
          <w:szCs w:val="22"/>
        </w:rPr>
        <w:t xml:space="preserve"> </w:t>
      </w:r>
      <w:r w:rsidRPr="0039640B">
        <w:rPr>
          <w:rFonts w:asciiTheme="minorHAnsi" w:hAnsiTheme="minorHAnsi" w:cstheme="minorHAnsi"/>
          <w:bCs/>
          <w:sz w:val="22"/>
          <w:szCs w:val="22"/>
        </w:rPr>
        <w:t>a drilling assessment of the ground</w:t>
      </w:r>
      <w:r>
        <w:rPr>
          <w:rFonts w:asciiTheme="minorHAnsi" w:hAnsiTheme="minorHAnsi" w:cstheme="minorHAnsi"/>
          <w:bCs/>
          <w:sz w:val="22"/>
          <w:szCs w:val="22"/>
        </w:rPr>
        <w:t xml:space="preserve"> and basement characteristics</w:t>
      </w:r>
      <w:r w:rsidRPr="0039640B">
        <w:rPr>
          <w:rFonts w:asciiTheme="minorHAnsi" w:hAnsiTheme="minorHAnsi" w:cstheme="minorHAnsi"/>
          <w:bCs/>
          <w:sz w:val="22"/>
          <w:szCs w:val="22"/>
        </w:rPr>
        <w:t>-</w:t>
      </w:r>
      <w:r>
        <w:rPr>
          <w:rFonts w:asciiTheme="minorHAnsi" w:hAnsiTheme="minorHAnsi" w:cstheme="minorHAnsi"/>
          <w:bCs/>
          <w:sz w:val="22"/>
          <w:szCs w:val="22"/>
        </w:rPr>
        <w:t xml:space="preserve">and morphology; infill drilling and sampling for final variability accuracy and increasing confidence in an initial optimised mine plan schedule; </w:t>
      </w:r>
      <w:r w:rsidRPr="0039640B">
        <w:rPr>
          <w:rFonts w:asciiTheme="minorHAnsi" w:hAnsiTheme="minorHAnsi" w:cstheme="minorHAnsi"/>
          <w:bCs/>
          <w:sz w:val="22"/>
          <w:szCs w:val="22"/>
        </w:rPr>
        <w:t>the acquisition via a drone survey of high-resolution terrain modelling for detailed engineering</w:t>
      </w:r>
      <w:r>
        <w:rPr>
          <w:rFonts w:asciiTheme="minorHAnsi" w:hAnsiTheme="minorHAnsi" w:cstheme="minorHAnsi"/>
          <w:bCs/>
          <w:sz w:val="22"/>
          <w:szCs w:val="22"/>
        </w:rPr>
        <w:t xml:space="preserve">. Large trial pits were created </w:t>
      </w: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w:t>
      </w:r>
      <w:r>
        <w:rPr>
          <w:rFonts w:asciiTheme="minorHAnsi" w:hAnsiTheme="minorHAnsi" w:cstheme="minorHAnsi"/>
          <w:color w:val="000000"/>
          <w:sz w:val="22"/>
          <w:szCs w:val="22"/>
        </w:rPr>
        <w:t>provide</w:t>
      </w:r>
      <w:r w:rsidRPr="0039640B">
        <w:rPr>
          <w:rFonts w:asciiTheme="minorHAnsi" w:hAnsiTheme="minorHAnsi" w:cstheme="minorHAnsi"/>
          <w:color w:val="000000"/>
          <w:sz w:val="22"/>
          <w:szCs w:val="22"/>
        </w:rPr>
        <w:t xml:space="preserve"> further geol</w:t>
      </w:r>
      <w:r>
        <w:rPr>
          <w:rFonts w:asciiTheme="minorHAnsi" w:hAnsiTheme="minorHAnsi" w:cstheme="minorHAnsi"/>
          <w:color w:val="000000"/>
          <w:sz w:val="22"/>
          <w:szCs w:val="22"/>
        </w:rPr>
        <w:t>ogical information and validate</w:t>
      </w:r>
      <w:r w:rsidRPr="0039640B">
        <w:rPr>
          <w:rFonts w:asciiTheme="minorHAnsi" w:hAnsiTheme="minorHAnsi" w:cstheme="minorHAnsi"/>
          <w:color w:val="000000"/>
          <w:sz w:val="22"/>
          <w:szCs w:val="22"/>
        </w:rPr>
        <w:t xml:space="preserve"> the proposed mining method. The samples </w:t>
      </w:r>
      <w:r>
        <w:rPr>
          <w:rFonts w:asciiTheme="minorHAnsi" w:hAnsiTheme="minorHAnsi" w:cstheme="minorHAnsi"/>
          <w:color w:val="000000"/>
          <w:sz w:val="22"/>
          <w:szCs w:val="22"/>
        </w:rPr>
        <w:t>from the drill programme are</w:t>
      </w:r>
      <w:r w:rsidRPr="0039640B">
        <w:rPr>
          <w:rFonts w:asciiTheme="minorHAnsi" w:hAnsiTheme="minorHAnsi" w:cstheme="minorHAnsi"/>
          <w:color w:val="000000"/>
          <w:sz w:val="22"/>
          <w:szCs w:val="22"/>
        </w:rPr>
        <w:t xml:space="preserve"> enroute to Perth, Western Australia for analysis and test-work to </w:t>
      </w:r>
      <w:r>
        <w:rPr>
          <w:rFonts w:asciiTheme="minorHAnsi" w:hAnsiTheme="minorHAnsi" w:cstheme="minorHAnsi"/>
          <w:sz w:val="22"/>
          <w:szCs w:val="22"/>
        </w:rPr>
        <w:t>update</w:t>
      </w:r>
      <w:r w:rsidRPr="0039640B">
        <w:rPr>
          <w:rFonts w:asciiTheme="minorHAnsi" w:hAnsiTheme="minorHAnsi" w:cstheme="minorHAnsi"/>
          <w:sz w:val="22"/>
          <w:szCs w:val="22"/>
        </w:rPr>
        <w:t xml:space="preserve"> </w:t>
      </w:r>
      <w:r w:rsidRPr="0039640B">
        <w:rPr>
          <w:rFonts w:asciiTheme="minorHAnsi" w:hAnsiTheme="minorHAnsi" w:cstheme="minorHAnsi"/>
          <w:color w:val="000000"/>
          <w:sz w:val="22"/>
          <w:szCs w:val="22"/>
        </w:rPr>
        <w:t>the mineral resource and the process flowsheet design.</w:t>
      </w:r>
    </w:p>
    <w:p w14:paraId="06F42AC0" w14:textId="77777777" w:rsidR="00B74D7A" w:rsidRPr="0039640B" w:rsidRDefault="00B74D7A" w:rsidP="00B74D7A">
      <w:pPr>
        <w:spacing w:line="276" w:lineRule="auto"/>
        <w:jc w:val="both"/>
        <w:rPr>
          <w:rFonts w:asciiTheme="minorHAnsi" w:hAnsiTheme="minorHAnsi" w:cstheme="minorHAnsi"/>
          <w:bCs/>
          <w:sz w:val="22"/>
          <w:szCs w:val="22"/>
        </w:rPr>
      </w:pPr>
      <w:r w:rsidRPr="0039640B">
        <w:rPr>
          <w:rFonts w:asciiTheme="minorHAnsi" w:hAnsiTheme="minorHAnsi" w:cstheme="minorHAnsi"/>
          <w:bCs/>
          <w:sz w:val="22"/>
          <w:szCs w:val="22"/>
        </w:rPr>
        <w:lastRenderedPageBreak/>
        <w:t xml:space="preserve">Various stakeholders, including potential service providers, and our Master Distribution Partner also visited the site this season. These visits assist planning and progress towards achieving a robust and de-risked case for Dundas.  We expect to provide a further and fuller update in Q4 2022. </w:t>
      </w:r>
      <w:r w:rsidRPr="0039640B">
        <w:rPr>
          <w:rFonts w:asciiTheme="minorHAnsi" w:hAnsiTheme="minorHAnsi" w:cstheme="minorHAnsi"/>
          <w:sz w:val="22"/>
          <w:szCs w:val="22"/>
        </w:rPr>
        <w:t xml:space="preserve"> </w:t>
      </w:r>
    </w:p>
    <w:p w14:paraId="6018ABF0" w14:textId="77777777" w:rsidR="00B74D7A" w:rsidRDefault="00B74D7A" w:rsidP="00B74D7A">
      <w:pPr>
        <w:spacing w:line="276" w:lineRule="auto"/>
        <w:jc w:val="both"/>
        <w:rPr>
          <w:rFonts w:ascii="Calibri" w:hAnsi="Calibri" w:cs="Calibri"/>
          <w:bCs/>
          <w:sz w:val="22"/>
          <w:szCs w:val="22"/>
        </w:rPr>
      </w:pPr>
    </w:p>
    <w:p w14:paraId="2D890C20"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A major endorsement for Dundas was reached during the Period as ERMA announced its official support for the project, the first mining project supported by ERMA in the Arctic Region. This endorsement in turn enables ERMA to secure a supply of ilmenite from Dundas for end users within the EU. Dundas’ supply of ilmenite provides a new secure supply chain option for titanium ore and concentrate. The support creates a raw material supply chain within Europe to support industrial ecosystems within the EU. </w:t>
      </w:r>
    </w:p>
    <w:p w14:paraId="7DA2FDB7" w14:textId="77777777" w:rsidR="00B74D7A" w:rsidRDefault="00B74D7A" w:rsidP="00B74D7A">
      <w:pPr>
        <w:spacing w:line="276" w:lineRule="auto"/>
        <w:jc w:val="both"/>
        <w:rPr>
          <w:rFonts w:ascii="Calibri" w:hAnsi="Calibri" w:cs="Calibri"/>
          <w:sz w:val="22"/>
          <w:szCs w:val="22"/>
        </w:rPr>
      </w:pPr>
    </w:p>
    <w:p w14:paraId="70EC4A5E" w14:textId="32B32948"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At the beginning of the Period </w:t>
      </w:r>
      <w:proofErr w:type="spellStart"/>
      <w:r>
        <w:rPr>
          <w:rFonts w:ascii="Calibri" w:hAnsi="Calibri" w:cs="Calibri"/>
          <w:sz w:val="22"/>
          <w:szCs w:val="22"/>
        </w:rPr>
        <w:t>Bluejay</w:t>
      </w:r>
      <w:proofErr w:type="spellEnd"/>
      <w:r>
        <w:rPr>
          <w:rFonts w:ascii="Calibri" w:hAnsi="Calibri" w:cs="Calibri"/>
          <w:sz w:val="22"/>
          <w:szCs w:val="22"/>
        </w:rPr>
        <w:t xml:space="preserve"> published the Electronic Nautical Charts (‘ENCs’) for Dundas. The ENCs were conducted by the Danish Geodata Agency and covers the key seaward approach and coastal waters for Dundas. The charts are based on detailed bathymetry which was acquired by Dundas Titanium A/S and historical lower resolution bathymetry. These charts will be used during both the construction period and production phase at Dundas and the update of the ENC’s constitutes a key dataset for the future of safe shipping operations. This signifies a positive step for the Company and </w:t>
      </w:r>
      <w:r w:rsidR="00B50762">
        <w:rPr>
          <w:rFonts w:ascii="Calibri" w:hAnsi="Calibri" w:cs="Calibri"/>
          <w:sz w:val="22"/>
          <w:szCs w:val="22"/>
        </w:rPr>
        <w:t>Dundas</w:t>
      </w:r>
      <w:r>
        <w:rPr>
          <w:rFonts w:ascii="Calibri" w:hAnsi="Calibri" w:cs="Calibri"/>
          <w:sz w:val="22"/>
          <w:szCs w:val="22"/>
        </w:rPr>
        <w:t>, as it enables the advancement of discussions with potential bulk carrier companies to transport the products produced from Dundas to our eventual global customers.</w:t>
      </w:r>
    </w:p>
    <w:p w14:paraId="33EDDFC6" w14:textId="77777777" w:rsidR="00B74D7A" w:rsidRDefault="00B74D7A" w:rsidP="00B74D7A">
      <w:pPr>
        <w:spacing w:line="276" w:lineRule="auto"/>
        <w:jc w:val="both"/>
        <w:rPr>
          <w:rFonts w:ascii="Calibri" w:hAnsi="Calibri" w:cs="Calibri"/>
          <w:bCs/>
          <w:sz w:val="22"/>
          <w:szCs w:val="22"/>
        </w:rPr>
      </w:pPr>
    </w:p>
    <w:p w14:paraId="47AE90DC"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This Period saw another significant milestone for the Disko-</w:t>
      </w:r>
      <w:proofErr w:type="spellStart"/>
      <w:r>
        <w:rPr>
          <w:rFonts w:ascii="Calibri" w:hAnsi="Calibri" w:cs="Calibri"/>
          <w:sz w:val="22"/>
          <w:szCs w:val="22"/>
        </w:rPr>
        <w:t>Nuussuaq</w:t>
      </w:r>
      <w:proofErr w:type="spellEnd"/>
      <w:r>
        <w:rPr>
          <w:rFonts w:ascii="Calibri" w:hAnsi="Calibri" w:cs="Calibri"/>
          <w:sz w:val="22"/>
          <w:szCs w:val="22"/>
        </w:rPr>
        <w:t xml:space="preserve"> project with the incorporation of </w:t>
      </w:r>
      <w:proofErr w:type="spellStart"/>
      <w:r>
        <w:rPr>
          <w:rFonts w:ascii="Calibri" w:hAnsi="Calibri" w:cs="Calibri"/>
          <w:sz w:val="22"/>
          <w:szCs w:val="22"/>
        </w:rPr>
        <w:t>Nikkeli</w:t>
      </w:r>
      <w:proofErr w:type="spellEnd"/>
      <w:r>
        <w:rPr>
          <w:rFonts w:ascii="Calibri" w:hAnsi="Calibri" w:cs="Calibri"/>
          <w:sz w:val="22"/>
          <w:szCs w:val="22"/>
        </w:rPr>
        <w:t xml:space="preserve"> Greenland A/S, the JV company which is now the new licence holder at Disko. Following the incorporation, </w:t>
      </w:r>
      <w:proofErr w:type="spellStart"/>
      <w:r>
        <w:rPr>
          <w:rFonts w:ascii="Calibri" w:hAnsi="Calibri" w:cs="Calibri"/>
          <w:sz w:val="22"/>
          <w:szCs w:val="22"/>
        </w:rPr>
        <w:t>Nikkeli</w:t>
      </w:r>
      <w:proofErr w:type="spellEnd"/>
      <w:r>
        <w:rPr>
          <w:rFonts w:ascii="Calibri" w:hAnsi="Calibri" w:cs="Calibri"/>
          <w:sz w:val="22"/>
          <w:szCs w:val="22"/>
        </w:rPr>
        <w:t xml:space="preserve"> set out the work programme for the 2022 field season. </w:t>
      </w:r>
      <w:proofErr w:type="spellStart"/>
      <w:r>
        <w:rPr>
          <w:rFonts w:ascii="Calibri" w:hAnsi="Calibri" w:cs="Calibri"/>
          <w:sz w:val="22"/>
          <w:szCs w:val="22"/>
        </w:rPr>
        <w:t>Nikkeli</w:t>
      </w:r>
      <w:proofErr w:type="spellEnd"/>
      <w:r>
        <w:rPr>
          <w:rFonts w:ascii="Calibri" w:hAnsi="Calibri" w:cs="Calibri"/>
          <w:sz w:val="22"/>
          <w:szCs w:val="22"/>
        </w:rPr>
        <w:t xml:space="preserve"> represents the commitment of both </w:t>
      </w:r>
      <w:proofErr w:type="spellStart"/>
      <w:r>
        <w:rPr>
          <w:rFonts w:ascii="Calibri" w:hAnsi="Calibri" w:cs="Calibri"/>
          <w:sz w:val="22"/>
          <w:szCs w:val="22"/>
        </w:rPr>
        <w:t>Bluejay</w:t>
      </w:r>
      <w:proofErr w:type="spellEnd"/>
      <w:r>
        <w:rPr>
          <w:rFonts w:ascii="Calibri" w:hAnsi="Calibri" w:cs="Calibri"/>
          <w:sz w:val="22"/>
          <w:szCs w:val="22"/>
        </w:rPr>
        <w:t xml:space="preserve"> and </w:t>
      </w:r>
      <w:proofErr w:type="spellStart"/>
      <w:r>
        <w:rPr>
          <w:rFonts w:ascii="Calibri" w:hAnsi="Calibri" w:cs="Calibri"/>
          <w:sz w:val="22"/>
          <w:szCs w:val="22"/>
        </w:rPr>
        <w:t>KoBold</w:t>
      </w:r>
      <w:proofErr w:type="spellEnd"/>
      <w:r>
        <w:rPr>
          <w:rFonts w:ascii="Calibri" w:hAnsi="Calibri" w:cs="Calibri"/>
          <w:sz w:val="22"/>
          <w:szCs w:val="22"/>
        </w:rPr>
        <w:t xml:space="preserve"> in creating a productive relationship with longevity. The progression at the JV utilises </w:t>
      </w:r>
      <w:proofErr w:type="spellStart"/>
      <w:r>
        <w:rPr>
          <w:rFonts w:ascii="Calibri" w:hAnsi="Calibri" w:cs="Calibri"/>
          <w:sz w:val="22"/>
          <w:szCs w:val="22"/>
        </w:rPr>
        <w:t>Bluejay’s</w:t>
      </w:r>
      <w:proofErr w:type="spellEnd"/>
      <w:r>
        <w:rPr>
          <w:rFonts w:ascii="Calibri" w:hAnsi="Calibri" w:cs="Calibri"/>
          <w:sz w:val="22"/>
          <w:szCs w:val="22"/>
        </w:rPr>
        <w:t xml:space="preserve"> significant in-country and exploration experience together with </w:t>
      </w:r>
      <w:proofErr w:type="spellStart"/>
      <w:r>
        <w:rPr>
          <w:rFonts w:ascii="Calibri" w:hAnsi="Calibri" w:cs="Calibri"/>
          <w:sz w:val="22"/>
          <w:szCs w:val="22"/>
        </w:rPr>
        <w:t>KoBold’s</w:t>
      </w:r>
      <w:proofErr w:type="spellEnd"/>
      <w:r>
        <w:rPr>
          <w:rFonts w:ascii="Calibri" w:hAnsi="Calibri" w:cs="Calibri"/>
          <w:sz w:val="22"/>
          <w:szCs w:val="22"/>
        </w:rPr>
        <w:t xml:space="preserve"> leading-edge technology and substantial backing from the world’s leading investors and technological entrepreneurs, something that leaves us in remarkably good stead going forward. </w:t>
      </w:r>
    </w:p>
    <w:p w14:paraId="0EF83146" w14:textId="77777777" w:rsidR="00B74D7A" w:rsidRDefault="00B74D7A" w:rsidP="00B74D7A">
      <w:pPr>
        <w:spacing w:line="276" w:lineRule="auto"/>
        <w:jc w:val="both"/>
        <w:rPr>
          <w:rFonts w:ascii="Calibri" w:hAnsi="Calibri" w:cs="Calibri"/>
          <w:sz w:val="22"/>
          <w:szCs w:val="22"/>
        </w:rPr>
      </w:pPr>
    </w:p>
    <w:p w14:paraId="62870CBD"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The work programme focused on extensive data collection through more than </w:t>
      </w:r>
      <w:proofErr w:type="gramStart"/>
      <w:r>
        <w:rPr>
          <w:rFonts w:ascii="Calibri" w:hAnsi="Calibri" w:cs="Calibri"/>
          <w:sz w:val="22"/>
          <w:szCs w:val="22"/>
        </w:rPr>
        <w:t>4,500 line</w:t>
      </w:r>
      <w:proofErr w:type="gramEnd"/>
      <w:r>
        <w:rPr>
          <w:rFonts w:ascii="Calibri" w:hAnsi="Calibri" w:cs="Calibri"/>
          <w:sz w:val="22"/>
          <w:szCs w:val="22"/>
        </w:rPr>
        <w:t xml:space="preserve"> kilometres (‘km’) of aerial geophysical surveys and 200 line km of soil sampling. The objective of this work is to target massive nickel, copper, </w:t>
      </w:r>
      <w:proofErr w:type="gramStart"/>
      <w:r>
        <w:rPr>
          <w:rFonts w:ascii="Calibri" w:hAnsi="Calibri" w:cs="Calibri"/>
          <w:sz w:val="22"/>
          <w:szCs w:val="22"/>
        </w:rPr>
        <w:t>cobalt</w:t>
      </w:r>
      <w:proofErr w:type="gramEnd"/>
      <w:r>
        <w:rPr>
          <w:rFonts w:ascii="Calibri" w:hAnsi="Calibri" w:cs="Calibri"/>
          <w:sz w:val="22"/>
          <w:szCs w:val="22"/>
        </w:rPr>
        <w:t xml:space="preserve"> and platinum group metals bearing sulphides and identify the most promising targets for diamond drilling work. The extensive exploration programme will lay the groundwork for an efficient and effective drilling campaign to confirm the presence of critical minerals at the project. The Company is looking to identify a new battery metal district which would be essential to supporting the global shift to green energy </w:t>
      </w:r>
      <w:r w:rsidRPr="00C77D28">
        <w:rPr>
          <w:rFonts w:ascii="Calibri" w:hAnsi="Calibri" w:cs="Calibri"/>
          <w:sz w:val="22"/>
          <w:szCs w:val="22"/>
        </w:rPr>
        <w:t xml:space="preserve">and net zero targets. </w:t>
      </w:r>
      <w:r w:rsidRPr="00FD5C12">
        <w:rPr>
          <w:rFonts w:ascii="Calibri" w:hAnsi="Calibri" w:cs="Calibri"/>
          <w:sz w:val="22"/>
          <w:szCs w:val="22"/>
        </w:rPr>
        <w:t>With this season’s demobilisation of the campsite at Disko nearly complete, we anticipate updating the market in further detail in due course, where we will also offer an update on the next phase of work at Disko.</w:t>
      </w:r>
      <w:r>
        <w:rPr>
          <w:rFonts w:ascii="Calibri" w:hAnsi="Calibri" w:cs="Calibri"/>
          <w:sz w:val="22"/>
          <w:szCs w:val="22"/>
        </w:rPr>
        <w:t xml:space="preserve"> </w:t>
      </w:r>
    </w:p>
    <w:p w14:paraId="7200A558" w14:textId="77777777" w:rsidR="00B74D7A" w:rsidRDefault="00B74D7A" w:rsidP="00B74D7A">
      <w:pPr>
        <w:spacing w:line="276" w:lineRule="auto"/>
        <w:jc w:val="both"/>
        <w:rPr>
          <w:rFonts w:ascii="Calibri" w:hAnsi="Calibri" w:cs="Calibri"/>
          <w:sz w:val="22"/>
          <w:szCs w:val="22"/>
        </w:rPr>
      </w:pPr>
    </w:p>
    <w:p w14:paraId="1DD41662" w14:textId="77777777" w:rsidR="00B74D7A" w:rsidRPr="00C5308D" w:rsidRDefault="00B74D7A" w:rsidP="00B74D7A">
      <w:pPr>
        <w:spacing w:line="276" w:lineRule="auto"/>
        <w:jc w:val="both"/>
        <w:rPr>
          <w:rFonts w:ascii="Calibri" w:hAnsi="Calibri" w:cs="Calibri"/>
          <w:sz w:val="22"/>
          <w:szCs w:val="22"/>
        </w:rPr>
      </w:pPr>
      <w:r w:rsidRPr="0039640B">
        <w:rPr>
          <w:rFonts w:ascii="Calibri" w:hAnsi="Calibri" w:cs="Calibri"/>
          <w:sz w:val="22"/>
          <w:szCs w:val="22"/>
        </w:rPr>
        <w:t>In June, the Company announced an investigation into a proposed demerger</w:t>
      </w:r>
      <w:r w:rsidRPr="0039640B">
        <w:t xml:space="preserve"> </w:t>
      </w:r>
      <w:r w:rsidRPr="0039640B">
        <w:rPr>
          <w:rFonts w:ascii="Calibri" w:hAnsi="Calibri" w:cs="Calibri"/>
          <w:sz w:val="22"/>
          <w:szCs w:val="22"/>
        </w:rPr>
        <w:t xml:space="preserve">and separate stock market listing for its wholly owned subsidiary Disko Exploration Limited. Following shareholder feedback, </w:t>
      </w:r>
      <w:proofErr w:type="spellStart"/>
      <w:r w:rsidRPr="0039640B">
        <w:rPr>
          <w:rFonts w:ascii="Calibri" w:hAnsi="Calibri" w:cs="Calibri"/>
          <w:sz w:val="22"/>
          <w:szCs w:val="22"/>
        </w:rPr>
        <w:t>Bluejay</w:t>
      </w:r>
      <w:proofErr w:type="spellEnd"/>
      <w:r w:rsidRPr="0039640B">
        <w:rPr>
          <w:rFonts w:ascii="Calibri" w:hAnsi="Calibri" w:cs="Calibri"/>
          <w:sz w:val="22"/>
          <w:szCs w:val="22"/>
        </w:rPr>
        <w:t xml:space="preserve"> is currently undertaking a review of this and hopes to offer an update in due course.</w:t>
      </w:r>
      <w:r w:rsidRPr="00C5308D">
        <w:rPr>
          <w:rFonts w:ascii="Calibri" w:hAnsi="Calibri" w:cs="Calibri"/>
          <w:sz w:val="22"/>
          <w:szCs w:val="22"/>
        </w:rPr>
        <w:t xml:space="preserve"> </w:t>
      </w:r>
    </w:p>
    <w:p w14:paraId="6C6B795A" w14:textId="77777777" w:rsidR="00B74D7A" w:rsidRDefault="00B74D7A" w:rsidP="00B74D7A">
      <w:pPr>
        <w:spacing w:line="276" w:lineRule="auto"/>
        <w:jc w:val="both"/>
        <w:rPr>
          <w:rFonts w:ascii="Calibri" w:hAnsi="Calibri" w:cs="Calibri"/>
          <w:sz w:val="22"/>
          <w:szCs w:val="22"/>
        </w:rPr>
      </w:pPr>
    </w:p>
    <w:p w14:paraId="721B6408"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At the end of the Period, </w:t>
      </w:r>
      <w:proofErr w:type="spellStart"/>
      <w:r>
        <w:rPr>
          <w:rFonts w:ascii="Calibri" w:hAnsi="Calibri" w:cs="Calibri"/>
          <w:sz w:val="22"/>
          <w:szCs w:val="22"/>
        </w:rPr>
        <w:t>Bluejay</w:t>
      </w:r>
      <w:proofErr w:type="spellEnd"/>
      <w:r>
        <w:rPr>
          <w:rFonts w:ascii="Calibri" w:hAnsi="Calibri" w:cs="Calibri"/>
          <w:sz w:val="22"/>
          <w:szCs w:val="22"/>
        </w:rPr>
        <w:t xml:space="preserve"> provided an update on its </w:t>
      </w:r>
      <w:proofErr w:type="spellStart"/>
      <w:r>
        <w:rPr>
          <w:rFonts w:ascii="Calibri" w:hAnsi="Calibri" w:cs="Calibri"/>
          <w:sz w:val="22"/>
          <w:szCs w:val="22"/>
        </w:rPr>
        <w:t>Kangerluarsuk</w:t>
      </w:r>
      <w:proofErr w:type="spellEnd"/>
      <w:r>
        <w:rPr>
          <w:rFonts w:ascii="Calibri" w:hAnsi="Calibri" w:cs="Calibri"/>
          <w:sz w:val="22"/>
          <w:szCs w:val="22"/>
        </w:rPr>
        <w:t xml:space="preserve"> project where a comprehensive survey programme was scheduled to commence, which includes 587 km of aerial magnetic surveys to further refine targets ahead of a future drilling programme. These initial targets of significant zinc, lead, silver, and copper mineralisation were identified by historical mapping and sampling work, conducted by previous operators. The historical mapping demonstrates the similarity in the project’s geology to the Black Angel mine, located nearby to the South of </w:t>
      </w:r>
      <w:proofErr w:type="spellStart"/>
      <w:r>
        <w:rPr>
          <w:rFonts w:ascii="Calibri" w:hAnsi="Calibri" w:cs="Calibri"/>
          <w:sz w:val="22"/>
          <w:szCs w:val="22"/>
        </w:rPr>
        <w:t>Kangerluarsuk</w:t>
      </w:r>
      <w:proofErr w:type="spellEnd"/>
      <w:r>
        <w:rPr>
          <w:rFonts w:ascii="Calibri" w:hAnsi="Calibri" w:cs="Calibri"/>
          <w:sz w:val="22"/>
          <w:szCs w:val="22"/>
        </w:rPr>
        <w:t xml:space="preserve">. Black Angel is an area well known for substantial and exceptionally </w:t>
      </w:r>
      <w:proofErr w:type="gramStart"/>
      <w:r>
        <w:rPr>
          <w:rFonts w:ascii="Calibri" w:hAnsi="Calibri" w:cs="Calibri"/>
          <w:sz w:val="22"/>
          <w:szCs w:val="22"/>
        </w:rPr>
        <w:t>high grade</w:t>
      </w:r>
      <w:proofErr w:type="gramEnd"/>
      <w:r>
        <w:rPr>
          <w:rFonts w:ascii="Calibri" w:hAnsi="Calibri" w:cs="Calibri"/>
          <w:sz w:val="22"/>
          <w:szCs w:val="22"/>
        </w:rPr>
        <w:t xml:space="preserve"> zinc and lead mineralisation with an extensive and successful mining history. </w:t>
      </w:r>
      <w:proofErr w:type="gramStart"/>
      <w:r>
        <w:rPr>
          <w:rFonts w:ascii="Calibri" w:hAnsi="Calibri" w:cs="Calibri"/>
          <w:sz w:val="22"/>
          <w:szCs w:val="22"/>
        </w:rPr>
        <w:t xml:space="preserve">The quick </w:t>
      </w:r>
      <w:r>
        <w:rPr>
          <w:rFonts w:ascii="Calibri" w:hAnsi="Calibri" w:cs="Calibri"/>
          <w:sz w:val="22"/>
          <w:szCs w:val="22"/>
        </w:rPr>
        <w:lastRenderedPageBreak/>
        <w:t>and cost-effective surveys,</w:t>
      </w:r>
      <w:proofErr w:type="gramEnd"/>
      <w:r>
        <w:rPr>
          <w:rFonts w:ascii="Calibri" w:hAnsi="Calibri" w:cs="Calibri"/>
          <w:sz w:val="22"/>
          <w:szCs w:val="22"/>
        </w:rPr>
        <w:t xml:space="preserve"> should represent a confirmatory programme which complements existing geochemical and geophysical data, and we hope leads </w:t>
      </w:r>
      <w:proofErr w:type="spellStart"/>
      <w:r>
        <w:rPr>
          <w:rFonts w:ascii="Calibri" w:hAnsi="Calibri" w:cs="Calibri"/>
          <w:sz w:val="22"/>
          <w:szCs w:val="22"/>
        </w:rPr>
        <w:t>Bluejay</w:t>
      </w:r>
      <w:proofErr w:type="spellEnd"/>
      <w:r>
        <w:rPr>
          <w:rFonts w:ascii="Calibri" w:hAnsi="Calibri" w:cs="Calibri"/>
          <w:sz w:val="22"/>
          <w:szCs w:val="22"/>
        </w:rPr>
        <w:t xml:space="preserve"> to another potentially significant future mine.</w:t>
      </w:r>
    </w:p>
    <w:p w14:paraId="1FD98E4E" w14:textId="77777777" w:rsidR="00B74D7A" w:rsidRDefault="00B74D7A" w:rsidP="00B74D7A">
      <w:pPr>
        <w:spacing w:line="276" w:lineRule="auto"/>
        <w:jc w:val="both"/>
        <w:rPr>
          <w:rFonts w:ascii="Calibri" w:hAnsi="Calibri" w:cs="Calibri"/>
          <w:sz w:val="22"/>
          <w:szCs w:val="22"/>
        </w:rPr>
      </w:pPr>
    </w:p>
    <w:p w14:paraId="78350280"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During the post period the survey programme at </w:t>
      </w:r>
      <w:proofErr w:type="spellStart"/>
      <w:r>
        <w:rPr>
          <w:rFonts w:ascii="Calibri" w:hAnsi="Calibri" w:cs="Calibri"/>
          <w:sz w:val="22"/>
          <w:szCs w:val="22"/>
        </w:rPr>
        <w:t>Kangerluarsuk</w:t>
      </w:r>
      <w:proofErr w:type="spellEnd"/>
      <w:r>
        <w:rPr>
          <w:rFonts w:ascii="Calibri" w:hAnsi="Calibri" w:cs="Calibri"/>
          <w:sz w:val="22"/>
          <w:szCs w:val="22"/>
        </w:rPr>
        <w:t xml:space="preserve"> was completed with all results currently being processed and expected back in Q4 2022.</w:t>
      </w:r>
    </w:p>
    <w:p w14:paraId="24ADE33C" w14:textId="77777777" w:rsidR="00B74D7A" w:rsidRPr="00E33E62" w:rsidRDefault="00B74D7A" w:rsidP="00B74D7A">
      <w:pPr>
        <w:spacing w:line="276" w:lineRule="auto"/>
        <w:jc w:val="both"/>
        <w:rPr>
          <w:rFonts w:ascii="Calibri" w:hAnsi="Calibri" w:cs="Calibri"/>
          <w:color w:val="000000"/>
          <w:sz w:val="22"/>
          <w:szCs w:val="22"/>
        </w:rPr>
      </w:pPr>
    </w:p>
    <w:p w14:paraId="3DF33CA7" w14:textId="77777777" w:rsidR="00B74D7A" w:rsidRDefault="00B74D7A" w:rsidP="00B74D7A">
      <w:pPr>
        <w:spacing w:line="276" w:lineRule="auto"/>
        <w:jc w:val="both"/>
        <w:rPr>
          <w:rFonts w:ascii="Calibri" w:hAnsi="Calibri" w:cs="Calibri"/>
          <w:b/>
          <w:sz w:val="22"/>
          <w:szCs w:val="22"/>
        </w:rPr>
      </w:pPr>
      <w:r w:rsidRPr="00E33E62">
        <w:rPr>
          <w:rFonts w:ascii="Calibri" w:hAnsi="Calibri" w:cs="Calibri"/>
          <w:b/>
          <w:sz w:val="22"/>
          <w:szCs w:val="22"/>
        </w:rPr>
        <w:t>Finland</w:t>
      </w:r>
    </w:p>
    <w:p w14:paraId="376AB3ED" w14:textId="77777777" w:rsidR="00B74D7A" w:rsidRDefault="00B74D7A" w:rsidP="00B74D7A">
      <w:pPr>
        <w:spacing w:line="276" w:lineRule="auto"/>
        <w:jc w:val="both"/>
        <w:rPr>
          <w:rFonts w:ascii="Calibri" w:hAnsi="Calibri" w:cs="Calibri"/>
          <w:b/>
          <w:sz w:val="22"/>
          <w:szCs w:val="22"/>
        </w:rPr>
      </w:pPr>
    </w:p>
    <w:p w14:paraId="13855C19" w14:textId="77777777" w:rsidR="00B74D7A" w:rsidRDefault="00B74D7A" w:rsidP="00B74D7A">
      <w:pPr>
        <w:spacing w:line="276" w:lineRule="auto"/>
        <w:jc w:val="both"/>
        <w:rPr>
          <w:rFonts w:ascii="Calibri" w:hAnsi="Calibri" w:cs="Calibri"/>
          <w:bCs/>
          <w:sz w:val="22"/>
          <w:szCs w:val="22"/>
        </w:rPr>
      </w:pPr>
      <w:r>
        <w:rPr>
          <w:rFonts w:ascii="Calibri" w:hAnsi="Calibri" w:cs="Calibri"/>
          <w:bCs/>
          <w:sz w:val="22"/>
          <w:szCs w:val="22"/>
        </w:rPr>
        <w:t xml:space="preserve">The Period started with the completion of the 2021 exploration programme at </w:t>
      </w:r>
      <w:proofErr w:type="spellStart"/>
      <w:r>
        <w:rPr>
          <w:rFonts w:ascii="Calibri" w:hAnsi="Calibri" w:cs="Calibri"/>
          <w:bCs/>
          <w:sz w:val="22"/>
          <w:szCs w:val="22"/>
        </w:rPr>
        <w:t>Bluejay’s</w:t>
      </w:r>
      <w:proofErr w:type="spellEnd"/>
      <w:r>
        <w:rPr>
          <w:rFonts w:ascii="Calibri" w:hAnsi="Calibri" w:cs="Calibri"/>
          <w:bCs/>
          <w:sz w:val="22"/>
          <w:szCs w:val="22"/>
        </w:rPr>
        <w:t xml:space="preserve"> JV Enonkoski project with Rio Tinto which commenced in Q4 2021. The 12 diamond drill holes and 1 extension totalled 4149.45 metres (‘m’) of drill work which intersected nickel-copper sulphide droplet zones logged in mafic intrusions, w</w:t>
      </w:r>
      <w:r w:rsidRPr="00A46182">
        <w:rPr>
          <w:rFonts w:ascii="Calibri" w:hAnsi="Calibri" w:cs="Calibri"/>
          <w:bCs/>
          <w:sz w:val="22"/>
          <w:szCs w:val="22"/>
        </w:rPr>
        <w:t>hich indicates promising results as these were analogous features of the former mine close to the orebody</w:t>
      </w:r>
      <w:r>
        <w:rPr>
          <w:rFonts w:ascii="Calibri" w:hAnsi="Calibri" w:cs="Calibri"/>
          <w:bCs/>
          <w:sz w:val="22"/>
          <w:szCs w:val="22"/>
        </w:rPr>
        <w:t>. The programme</w:t>
      </w:r>
      <w:r w:rsidRPr="00F153F8">
        <w:rPr>
          <w:rFonts w:ascii="Calibri" w:hAnsi="Calibri" w:cs="Calibri"/>
          <w:bCs/>
          <w:sz w:val="22"/>
          <w:szCs w:val="22"/>
        </w:rPr>
        <w:t xml:space="preserve"> targeted mineralisation in the near-mine areas </w:t>
      </w:r>
      <w:proofErr w:type="spellStart"/>
      <w:r w:rsidRPr="00F153F8">
        <w:rPr>
          <w:rFonts w:ascii="Calibri" w:hAnsi="Calibri" w:cs="Calibri"/>
          <w:bCs/>
          <w:sz w:val="22"/>
          <w:szCs w:val="22"/>
        </w:rPr>
        <w:t>Tevanjoki</w:t>
      </w:r>
      <w:proofErr w:type="spellEnd"/>
      <w:r w:rsidRPr="00F153F8">
        <w:rPr>
          <w:rFonts w:ascii="Calibri" w:hAnsi="Calibri" w:cs="Calibri"/>
          <w:bCs/>
          <w:sz w:val="22"/>
          <w:szCs w:val="22"/>
        </w:rPr>
        <w:t xml:space="preserve"> and </w:t>
      </w:r>
      <w:proofErr w:type="spellStart"/>
      <w:proofErr w:type="gramStart"/>
      <w:r w:rsidRPr="00F153F8">
        <w:rPr>
          <w:rFonts w:ascii="Calibri" w:hAnsi="Calibri" w:cs="Calibri"/>
          <w:bCs/>
          <w:sz w:val="22"/>
          <w:szCs w:val="22"/>
        </w:rPr>
        <w:t>Laukunsuo</w:t>
      </w:r>
      <w:proofErr w:type="spellEnd"/>
      <w:r>
        <w:rPr>
          <w:rFonts w:ascii="Calibri" w:hAnsi="Calibri" w:cs="Calibri"/>
          <w:bCs/>
          <w:sz w:val="22"/>
          <w:szCs w:val="22"/>
        </w:rPr>
        <w:t>, and</w:t>
      </w:r>
      <w:proofErr w:type="gramEnd"/>
      <w:r>
        <w:rPr>
          <w:rFonts w:ascii="Calibri" w:hAnsi="Calibri" w:cs="Calibri"/>
          <w:bCs/>
          <w:sz w:val="22"/>
          <w:szCs w:val="22"/>
        </w:rPr>
        <w:t xml:space="preserve"> included top of bedrock sampling and electromagnetic survey. All drill cores and top of bedrock core samples were submitted for analysis. </w:t>
      </w:r>
    </w:p>
    <w:p w14:paraId="7E2AEC1E" w14:textId="77777777" w:rsidR="00B74D7A" w:rsidRDefault="00B74D7A" w:rsidP="00B74D7A">
      <w:pPr>
        <w:spacing w:line="276" w:lineRule="auto"/>
        <w:jc w:val="both"/>
        <w:rPr>
          <w:rFonts w:ascii="Calibri" w:hAnsi="Calibri" w:cs="Calibri"/>
          <w:bCs/>
          <w:sz w:val="22"/>
          <w:szCs w:val="22"/>
        </w:rPr>
      </w:pPr>
    </w:p>
    <w:p w14:paraId="4FB12E36" w14:textId="77777777" w:rsidR="00B74D7A" w:rsidRDefault="00B74D7A" w:rsidP="00B74D7A">
      <w:pPr>
        <w:spacing w:line="276" w:lineRule="auto"/>
        <w:jc w:val="both"/>
        <w:rPr>
          <w:rFonts w:ascii="Calibri" w:hAnsi="Calibri" w:cs="Calibri"/>
          <w:bCs/>
          <w:sz w:val="22"/>
          <w:szCs w:val="22"/>
        </w:rPr>
      </w:pPr>
      <w:r>
        <w:rPr>
          <w:rFonts w:ascii="Calibri" w:hAnsi="Calibri" w:cs="Calibri"/>
          <w:bCs/>
          <w:sz w:val="22"/>
          <w:szCs w:val="22"/>
        </w:rPr>
        <w:t xml:space="preserve">By the midpoint of the Period the first exploration programme for 2022 commenced at Enonkoski following Rio Tinto’s approval of further expenditure at the project. Based on drilling and assay results, and the continuous evaluation of historic and new data from the Enonkoski Belt, the exploration activities completed in 2021 were continued. This programme consisted of three new drill holes and one drill hole extension totalling 1,648.20m of follow-up diamond drilling at </w:t>
      </w:r>
      <w:proofErr w:type="spellStart"/>
      <w:r>
        <w:rPr>
          <w:rFonts w:ascii="Calibri" w:hAnsi="Calibri" w:cs="Calibri"/>
          <w:bCs/>
          <w:sz w:val="22"/>
          <w:szCs w:val="22"/>
        </w:rPr>
        <w:t>Muhelampi</w:t>
      </w:r>
      <w:proofErr w:type="spellEnd"/>
      <w:r>
        <w:rPr>
          <w:rFonts w:ascii="Calibri" w:hAnsi="Calibri" w:cs="Calibri"/>
          <w:bCs/>
          <w:sz w:val="22"/>
          <w:szCs w:val="22"/>
        </w:rPr>
        <w:t xml:space="preserve"> and </w:t>
      </w:r>
      <w:proofErr w:type="spellStart"/>
      <w:r>
        <w:rPr>
          <w:rFonts w:ascii="Calibri" w:hAnsi="Calibri" w:cs="Calibri"/>
          <w:bCs/>
          <w:sz w:val="22"/>
          <w:szCs w:val="22"/>
        </w:rPr>
        <w:t>Laukunlampu</w:t>
      </w:r>
      <w:proofErr w:type="spellEnd"/>
      <w:r>
        <w:rPr>
          <w:rFonts w:ascii="Calibri" w:hAnsi="Calibri" w:cs="Calibri"/>
          <w:bCs/>
          <w:sz w:val="22"/>
          <w:szCs w:val="22"/>
        </w:rPr>
        <w:t xml:space="preserve"> targets previously identified by the 2021 exploration work. This was followed by downhole electromagnetic surveys of selected drill holes. A top of bedrock drill programme consisting of 60 holes focused on new targets compared to the 2021 </w:t>
      </w:r>
      <w:proofErr w:type="gramStart"/>
      <w:r>
        <w:rPr>
          <w:rFonts w:ascii="Calibri" w:hAnsi="Calibri" w:cs="Calibri"/>
          <w:bCs/>
          <w:sz w:val="22"/>
          <w:szCs w:val="22"/>
        </w:rPr>
        <w:t>programme, and</w:t>
      </w:r>
      <w:proofErr w:type="gramEnd"/>
      <w:r>
        <w:rPr>
          <w:rFonts w:ascii="Calibri" w:hAnsi="Calibri" w:cs="Calibri"/>
          <w:bCs/>
          <w:sz w:val="22"/>
          <w:szCs w:val="22"/>
        </w:rPr>
        <w:t xml:space="preserve"> includes infill sampling at the targets tested by the 2021 top of bedrock sampling. Geological mapping and sampling of the project occurred during the first exploration and drilling programme of 2022. The first exploration programme for 2022 was completed during the post period.</w:t>
      </w:r>
    </w:p>
    <w:p w14:paraId="5B46BC6F" w14:textId="77777777" w:rsidR="00B74D7A" w:rsidRDefault="00B74D7A" w:rsidP="00B74D7A">
      <w:pPr>
        <w:spacing w:line="276" w:lineRule="auto"/>
        <w:jc w:val="both"/>
        <w:rPr>
          <w:rFonts w:ascii="Calibri" w:hAnsi="Calibri" w:cs="Calibri"/>
          <w:bCs/>
          <w:sz w:val="22"/>
          <w:szCs w:val="22"/>
        </w:rPr>
      </w:pPr>
    </w:p>
    <w:p w14:paraId="43B7E0F7" w14:textId="77777777" w:rsidR="00B74D7A" w:rsidRDefault="00B74D7A" w:rsidP="00B74D7A">
      <w:pPr>
        <w:spacing w:line="276" w:lineRule="auto"/>
        <w:jc w:val="both"/>
        <w:rPr>
          <w:rFonts w:ascii="Calibri" w:hAnsi="Calibri" w:cs="Calibri"/>
          <w:bCs/>
          <w:sz w:val="22"/>
          <w:szCs w:val="22"/>
        </w:rPr>
      </w:pPr>
      <w:r>
        <w:rPr>
          <w:rFonts w:ascii="Calibri" w:hAnsi="Calibri" w:cs="Calibri"/>
          <w:bCs/>
          <w:sz w:val="22"/>
          <w:szCs w:val="22"/>
        </w:rPr>
        <w:t xml:space="preserve">The aim of the top of bedrock method is to confirm the existence of mafic-ultramafic intrusions that have been defined by geophysics but covered by till, and to generate new drilling targets. The activities in this exploration programme </w:t>
      </w:r>
      <w:r w:rsidRPr="0037405A">
        <w:rPr>
          <w:rFonts w:ascii="Calibri" w:hAnsi="Calibri" w:cs="Calibri"/>
          <w:bCs/>
          <w:sz w:val="22"/>
          <w:szCs w:val="22"/>
        </w:rPr>
        <w:t>are focusing on high potential targets on this underexplored nickel-copper-cobalt belt</w:t>
      </w:r>
      <w:r>
        <w:rPr>
          <w:rFonts w:ascii="Calibri" w:hAnsi="Calibri" w:cs="Calibri"/>
          <w:bCs/>
          <w:sz w:val="22"/>
          <w:szCs w:val="22"/>
        </w:rPr>
        <w:t>. The results from the diamond and top of bedrock drill core have been analysed with all assay data received. The results continue to add valuable geological mapping information for future target generation. It shows how cost-effective this exploration method can be with only four drill holes confirming previously unknown mafic intrusion near historic mafic intrusive hosted nickel, copper, cobalt mine.</w:t>
      </w:r>
    </w:p>
    <w:p w14:paraId="003E3A21" w14:textId="77777777" w:rsidR="00B74D7A" w:rsidRDefault="00B74D7A" w:rsidP="00B74D7A">
      <w:pPr>
        <w:spacing w:line="276" w:lineRule="auto"/>
        <w:jc w:val="both"/>
        <w:rPr>
          <w:rFonts w:ascii="Calibri" w:hAnsi="Calibri" w:cs="Calibri"/>
          <w:sz w:val="22"/>
          <w:szCs w:val="22"/>
        </w:rPr>
      </w:pPr>
    </w:p>
    <w:p w14:paraId="6E48A1A8"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All drilling, assay, geophysical, geological </w:t>
      </w:r>
      <w:proofErr w:type="gramStart"/>
      <w:r>
        <w:rPr>
          <w:rFonts w:ascii="Calibri" w:hAnsi="Calibri" w:cs="Calibri"/>
          <w:sz w:val="22"/>
          <w:szCs w:val="22"/>
        </w:rPr>
        <w:t>mapping</w:t>
      </w:r>
      <w:proofErr w:type="gramEnd"/>
      <w:r>
        <w:rPr>
          <w:rFonts w:ascii="Calibri" w:hAnsi="Calibri" w:cs="Calibri"/>
          <w:sz w:val="22"/>
          <w:szCs w:val="22"/>
        </w:rPr>
        <w:t xml:space="preserve"> and new sampling data are currently being processed and interpreted. </w:t>
      </w:r>
    </w:p>
    <w:p w14:paraId="736EA789" w14:textId="77777777" w:rsidR="00B74D7A" w:rsidRPr="00E33E62" w:rsidRDefault="00B74D7A" w:rsidP="00B74D7A">
      <w:pPr>
        <w:spacing w:line="276" w:lineRule="auto"/>
        <w:jc w:val="both"/>
        <w:rPr>
          <w:rFonts w:ascii="Calibri" w:hAnsi="Calibri" w:cs="Calibri"/>
          <w:sz w:val="22"/>
          <w:szCs w:val="22"/>
        </w:rPr>
      </w:pPr>
    </w:p>
    <w:p w14:paraId="771E2495" w14:textId="77777777" w:rsidR="00B74D7A" w:rsidRPr="00E33E62" w:rsidRDefault="00B74D7A" w:rsidP="00B74D7A">
      <w:pPr>
        <w:spacing w:line="276" w:lineRule="auto"/>
        <w:jc w:val="both"/>
        <w:rPr>
          <w:rFonts w:ascii="Calibri" w:hAnsi="Calibri" w:cs="Calibri"/>
          <w:b/>
          <w:sz w:val="22"/>
          <w:szCs w:val="22"/>
        </w:rPr>
      </w:pPr>
      <w:r w:rsidRPr="00E33E62">
        <w:rPr>
          <w:rFonts w:ascii="Calibri" w:hAnsi="Calibri" w:cs="Calibri"/>
          <w:b/>
          <w:sz w:val="22"/>
          <w:szCs w:val="22"/>
        </w:rPr>
        <w:t>Outlook</w:t>
      </w:r>
      <w:r>
        <w:rPr>
          <w:rFonts w:ascii="Calibri" w:hAnsi="Calibri" w:cs="Calibri"/>
          <w:b/>
          <w:sz w:val="22"/>
          <w:szCs w:val="22"/>
        </w:rPr>
        <w:t xml:space="preserve">  </w:t>
      </w:r>
    </w:p>
    <w:p w14:paraId="5A6E6508" w14:textId="77777777" w:rsidR="00B74D7A" w:rsidRDefault="00B74D7A" w:rsidP="00B74D7A">
      <w:pPr>
        <w:spacing w:line="276" w:lineRule="auto"/>
        <w:jc w:val="both"/>
        <w:rPr>
          <w:rFonts w:ascii="Calibri" w:hAnsi="Calibri" w:cs="Calibri"/>
          <w:sz w:val="22"/>
          <w:szCs w:val="22"/>
        </w:rPr>
      </w:pPr>
    </w:p>
    <w:p w14:paraId="5826DC51"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The Company continues in its endeavours to deliver on its strategy of the discovery and development of value creative assets. Working with globally significant strategic partners to build a secure supply chain of essential commodities, including battery metals to aid in the global drive towards a green economy, as well as, where appropriate, seek value through the monetisation of its </w:t>
      </w:r>
      <w:r w:rsidRPr="00546FE8">
        <w:rPr>
          <w:rFonts w:ascii="Calibri" w:hAnsi="Calibri" w:cs="Calibri"/>
          <w:sz w:val="22"/>
          <w:szCs w:val="22"/>
        </w:rPr>
        <w:t xml:space="preserve">diversified </w:t>
      </w:r>
      <w:r>
        <w:rPr>
          <w:rFonts w:ascii="Calibri" w:hAnsi="Calibri" w:cs="Calibri"/>
          <w:sz w:val="22"/>
          <w:szCs w:val="22"/>
        </w:rPr>
        <w:t xml:space="preserve">project portfolio.  </w:t>
      </w:r>
    </w:p>
    <w:p w14:paraId="65DEE54B" w14:textId="77777777" w:rsidR="00B74D7A" w:rsidRDefault="00B74D7A" w:rsidP="00B74D7A">
      <w:pPr>
        <w:spacing w:line="276" w:lineRule="auto"/>
        <w:jc w:val="both"/>
        <w:rPr>
          <w:rFonts w:ascii="Calibri" w:hAnsi="Calibri" w:cs="Calibri"/>
          <w:sz w:val="22"/>
          <w:szCs w:val="22"/>
        </w:rPr>
      </w:pPr>
    </w:p>
    <w:p w14:paraId="330F4E3B"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The first half of the year has seen the Company make progress and successfully operate exploration programmes throughout its portfolio.  The $7 million fundraise attracted new shareholders and emphasised the support from existing shareholders, the funds are earmarked for the Dundas feasibility study. </w:t>
      </w:r>
    </w:p>
    <w:p w14:paraId="6D38FB0F" w14:textId="77777777" w:rsidR="00B74D7A" w:rsidRDefault="00B74D7A" w:rsidP="00B74D7A">
      <w:pPr>
        <w:spacing w:line="276" w:lineRule="auto"/>
        <w:jc w:val="both"/>
        <w:rPr>
          <w:rFonts w:ascii="Calibri" w:hAnsi="Calibri" w:cs="Calibri"/>
          <w:sz w:val="22"/>
          <w:szCs w:val="22"/>
        </w:rPr>
      </w:pPr>
    </w:p>
    <w:p w14:paraId="3E044F2F"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lastRenderedPageBreak/>
        <w:t xml:space="preserve">The funded exploration programme ongoing at Disko is looking to target massive nickel, copper, </w:t>
      </w:r>
      <w:proofErr w:type="gramStart"/>
      <w:r>
        <w:rPr>
          <w:rFonts w:ascii="Calibri" w:hAnsi="Calibri" w:cs="Calibri"/>
          <w:sz w:val="22"/>
          <w:szCs w:val="22"/>
        </w:rPr>
        <w:t>cobalt</w:t>
      </w:r>
      <w:proofErr w:type="gramEnd"/>
      <w:r>
        <w:rPr>
          <w:rFonts w:ascii="Calibri" w:hAnsi="Calibri" w:cs="Calibri"/>
          <w:sz w:val="22"/>
          <w:szCs w:val="22"/>
        </w:rPr>
        <w:t xml:space="preserve"> and platinum group metals bearing sulphides. Which, once these targets are confirmed, would be followed by a comprehensive drilling campaign. The scale of the exploration work being undertaken at Disko highlights its potential to be a future supplier of critical minerals within Europe and the World.</w:t>
      </w:r>
    </w:p>
    <w:p w14:paraId="465E84BB" w14:textId="77777777" w:rsidR="00B74D7A" w:rsidRDefault="00B74D7A" w:rsidP="00B74D7A">
      <w:pPr>
        <w:spacing w:line="276" w:lineRule="auto"/>
        <w:jc w:val="both"/>
        <w:rPr>
          <w:rFonts w:ascii="Calibri" w:hAnsi="Calibri" w:cs="Calibri"/>
          <w:sz w:val="22"/>
          <w:szCs w:val="22"/>
        </w:rPr>
      </w:pPr>
    </w:p>
    <w:p w14:paraId="3316DECA" w14:textId="1E437A9D"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The continued support of </w:t>
      </w:r>
      <w:proofErr w:type="spellStart"/>
      <w:r>
        <w:rPr>
          <w:rFonts w:ascii="Calibri" w:hAnsi="Calibri" w:cs="Calibri"/>
          <w:sz w:val="22"/>
          <w:szCs w:val="22"/>
        </w:rPr>
        <w:t>Bluejay’s</w:t>
      </w:r>
      <w:proofErr w:type="spellEnd"/>
      <w:r>
        <w:rPr>
          <w:rFonts w:ascii="Calibri" w:hAnsi="Calibri" w:cs="Calibri"/>
          <w:sz w:val="22"/>
          <w:szCs w:val="22"/>
        </w:rPr>
        <w:t xml:space="preserve"> JV partners at Disko and Enonkoski has enabled both projects to make encouraging exploration progress. The Company’s ongoing collaborative work to assist in the global shift towards green energy and a green transition has been recognised by institutions, which culminated in the support of the Dundas project by ERMA. This support, the first for a mining project in the Arctic, opens Dundas’ potential supply of ilmenite to the European market via a secure supply chain for titanium ore and concentrate. This work, together with progressing the feasibility study and ongoing financing discussions at </w:t>
      </w:r>
      <w:r w:rsidR="007C6CD7">
        <w:rPr>
          <w:rFonts w:ascii="Calibri" w:hAnsi="Calibri" w:cs="Calibri"/>
          <w:sz w:val="22"/>
          <w:szCs w:val="22"/>
        </w:rPr>
        <w:t>Dundas</w:t>
      </w:r>
      <w:r>
        <w:rPr>
          <w:rFonts w:ascii="Calibri" w:hAnsi="Calibri" w:cs="Calibri"/>
          <w:sz w:val="22"/>
          <w:szCs w:val="22"/>
        </w:rPr>
        <w:t xml:space="preserve">, has led to increased value, and is part of the continued effort to achieve production. </w:t>
      </w:r>
    </w:p>
    <w:p w14:paraId="0F6DB198" w14:textId="77777777" w:rsidR="00B74D7A" w:rsidRDefault="00B74D7A" w:rsidP="00B74D7A">
      <w:pPr>
        <w:spacing w:line="276" w:lineRule="auto"/>
        <w:jc w:val="both"/>
        <w:rPr>
          <w:rFonts w:ascii="Calibri" w:hAnsi="Calibri" w:cs="Calibri"/>
          <w:sz w:val="22"/>
          <w:szCs w:val="22"/>
        </w:rPr>
      </w:pPr>
    </w:p>
    <w:p w14:paraId="7E42CF42" w14:textId="77777777" w:rsidR="00B74D7A" w:rsidRDefault="00B74D7A" w:rsidP="00B74D7A">
      <w:pPr>
        <w:spacing w:line="276" w:lineRule="auto"/>
        <w:jc w:val="both"/>
        <w:rPr>
          <w:rFonts w:ascii="Calibri" w:hAnsi="Calibri" w:cs="Calibri"/>
          <w:sz w:val="22"/>
          <w:szCs w:val="22"/>
        </w:rPr>
      </w:pPr>
      <w:proofErr w:type="spellStart"/>
      <w:r>
        <w:rPr>
          <w:rFonts w:ascii="Calibri" w:hAnsi="Calibri" w:cs="Calibri"/>
          <w:sz w:val="22"/>
          <w:szCs w:val="22"/>
        </w:rPr>
        <w:t>Bluejay</w:t>
      </w:r>
      <w:proofErr w:type="spellEnd"/>
      <w:r>
        <w:rPr>
          <w:rFonts w:ascii="Calibri" w:hAnsi="Calibri" w:cs="Calibri"/>
          <w:sz w:val="22"/>
          <w:szCs w:val="22"/>
        </w:rPr>
        <w:t xml:space="preserve"> benefits from the maintained close relationships with the regional and national governments of the jurisdictions it operates within. The Company provides economic and social benefits to all stakeholders, including those within the local communities. </w:t>
      </w:r>
    </w:p>
    <w:p w14:paraId="64161C46" w14:textId="77777777" w:rsidR="00B74D7A" w:rsidRDefault="00B74D7A" w:rsidP="00B74D7A">
      <w:pPr>
        <w:spacing w:line="276" w:lineRule="auto"/>
        <w:jc w:val="both"/>
        <w:rPr>
          <w:rFonts w:ascii="Calibri" w:hAnsi="Calibri" w:cs="Calibri"/>
          <w:sz w:val="22"/>
          <w:szCs w:val="22"/>
        </w:rPr>
      </w:pPr>
    </w:p>
    <w:p w14:paraId="3F4788AA" w14:textId="77777777" w:rsidR="00B74D7A" w:rsidRDefault="00B74D7A" w:rsidP="00B74D7A">
      <w:pPr>
        <w:spacing w:line="276" w:lineRule="auto"/>
        <w:jc w:val="both"/>
        <w:rPr>
          <w:rFonts w:ascii="Calibri" w:hAnsi="Calibri" w:cs="Calibri"/>
          <w:sz w:val="22"/>
          <w:szCs w:val="22"/>
        </w:rPr>
      </w:pPr>
      <w:r>
        <w:rPr>
          <w:rFonts w:ascii="Calibri" w:hAnsi="Calibri" w:cs="Calibri"/>
          <w:sz w:val="22"/>
          <w:szCs w:val="22"/>
        </w:rPr>
        <w:t xml:space="preserve">I am thankful to all those within the communities in which we operate, our strategic partners, stakeholder, </w:t>
      </w:r>
      <w:proofErr w:type="gramStart"/>
      <w:r>
        <w:rPr>
          <w:rFonts w:ascii="Calibri" w:hAnsi="Calibri" w:cs="Calibri"/>
          <w:sz w:val="22"/>
          <w:szCs w:val="22"/>
        </w:rPr>
        <w:t>advisors</w:t>
      </w:r>
      <w:proofErr w:type="gramEnd"/>
      <w:r>
        <w:rPr>
          <w:rFonts w:ascii="Calibri" w:hAnsi="Calibri" w:cs="Calibri"/>
          <w:sz w:val="22"/>
          <w:szCs w:val="22"/>
        </w:rPr>
        <w:t xml:space="preserve"> and those within the Company for their continued support and effort in advancing </w:t>
      </w:r>
      <w:proofErr w:type="spellStart"/>
      <w:r>
        <w:rPr>
          <w:rFonts w:ascii="Calibri" w:hAnsi="Calibri" w:cs="Calibri"/>
          <w:sz w:val="22"/>
          <w:szCs w:val="22"/>
        </w:rPr>
        <w:t>Bluejay’s</w:t>
      </w:r>
      <w:proofErr w:type="spellEnd"/>
      <w:r>
        <w:rPr>
          <w:rFonts w:ascii="Calibri" w:hAnsi="Calibri" w:cs="Calibri"/>
          <w:sz w:val="22"/>
          <w:szCs w:val="22"/>
        </w:rPr>
        <w:t xml:space="preserve"> projects. We remained focused on delivering our key objectives in the near and long-term, and looking to provide a secure supply of critical minerals to aid global supply and the global green transition.</w:t>
      </w:r>
    </w:p>
    <w:p w14:paraId="0C4A437F" w14:textId="77777777" w:rsidR="00FA3E37" w:rsidRPr="00E33E62" w:rsidRDefault="00FA3E37" w:rsidP="00FA3E37">
      <w:pPr>
        <w:jc w:val="both"/>
        <w:rPr>
          <w:rFonts w:ascii="Calibri" w:hAnsi="Calibri" w:cs="Calibri"/>
          <w:sz w:val="22"/>
          <w:szCs w:val="22"/>
        </w:rPr>
      </w:pPr>
    </w:p>
    <w:p w14:paraId="180C0C2C" w14:textId="77777777" w:rsidR="00FA3E37" w:rsidRPr="000D0CB8" w:rsidRDefault="00FA3E37" w:rsidP="00FA3E37">
      <w:pPr>
        <w:jc w:val="both"/>
        <w:rPr>
          <w:rFonts w:ascii="Calibri" w:hAnsi="Calibri" w:cs="Calibri"/>
          <w:b/>
          <w:sz w:val="22"/>
          <w:szCs w:val="22"/>
        </w:rPr>
      </w:pPr>
      <w:r>
        <w:rPr>
          <w:rFonts w:ascii="Calibri" w:hAnsi="Calibri" w:cs="Calibri"/>
          <w:b/>
          <w:sz w:val="22"/>
          <w:szCs w:val="22"/>
        </w:rPr>
        <w:t>Michael Hutchinson</w:t>
      </w:r>
    </w:p>
    <w:p w14:paraId="213BADD5" w14:textId="16E0F2F1" w:rsidR="00FA3E37" w:rsidRPr="00103A7A" w:rsidRDefault="00FA3E37" w:rsidP="00FA3E37">
      <w:pPr>
        <w:jc w:val="both"/>
        <w:rPr>
          <w:rFonts w:ascii="Calibri" w:hAnsi="Calibri" w:cs="Calibri"/>
          <w:b/>
          <w:sz w:val="22"/>
          <w:szCs w:val="22"/>
        </w:rPr>
      </w:pPr>
      <w:r>
        <w:rPr>
          <w:rFonts w:ascii="Calibri" w:hAnsi="Calibri" w:cs="Calibri"/>
          <w:b/>
          <w:sz w:val="22"/>
          <w:szCs w:val="22"/>
        </w:rPr>
        <w:t xml:space="preserve">Interim </w:t>
      </w:r>
      <w:r w:rsidR="00192C80">
        <w:rPr>
          <w:rFonts w:ascii="Calibri" w:hAnsi="Calibri" w:cs="Calibri"/>
          <w:b/>
          <w:sz w:val="22"/>
          <w:szCs w:val="22"/>
        </w:rPr>
        <w:t>Non-</w:t>
      </w:r>
      <w:r>
        <w:rPr>
          <w:rFonts w:ascii="Calibri" w:hAnsi="Calibri" w:cs="Calibri"/>
          <w:b/>
          <w:sz w:val="22"/>
          <w:szCs w:val="22"/>
        </w:rPr>
        <w:t>Executive Chairman</w:t>
      </w:r>
    </w:p>
    <w:p w14:paraId="69B1985E" w14:textId="77777777" w:rsidR="001170BD" w:rsidRPr="005F6D82" w:rsidRDefault="001170BD" w:rsidP="001170BD">
      <w:pPr>
        <w:spacing w:line="340" w:lineRule="exact"/>
        <w:jc w:val="both"/>
        <w:rPr>
          <w:rFonts w:ascii="Arial" w:hAnsi="Arial" w:cs="Arial"/>
          <w:b/>
          <w:bCs/>
          <w:sz w:val="18"/>
          <w:szCs w:val="18"/>
          <w:highlight w:val="yellow"/>
        </w:rPr>
      </w:pPr>
    </w:p>
    <w:p w14:paraId="5D2F4F8C" w14:textId="77777777" w:rsidR="001170BD" w:rsidRPr="005F6D82" w:rsidRDefault="001170BD" w:rsidP="001170BD">
      <w:pPr>
        <w:keepNext/>
        <w:spacing w:line="340" w:lineRule="exact"/>
        <w:jc w:val="both"/>
        <w:rPr>
          <w:rFonts w:ascii="Arial" w:hAnsi="Arial" w:cs="Arial"/>
          <w:b/>
          <w:bCs/>
          <w:sz w:val="18"/>
          <w:szCs w:val="18"/>
        </w:rPr>
      </w:pPr>
      <w:r w:rsidRPr="005F6D82">
        <w:rPr>
          <w:rFonts w:ascii="Arial" w:hAnsi="Arial" w:cs="Arial"/>
          <w:b/>
          <w:bCs/>
          <w:sz w:val="18"/>
          <w:szCs w:val="18"/>
        </w:rPr>
        <w:t>Market Abuse Regulation (MAR) Disclosure</w:t>
      </w:r>
    </w:p>
    <w:p w14:paraId="2B664F71" w14:textId="77777777" w:rsidR="000A7597" w:rsidRPr="005F6D82" w:rsidRDefault="000A7597" w:rsidP="000A7597">
      <w:pPr>
        <w:spacing w:line="276" w:lineRule="auto"/>
        <w:jc w:val="both"/>
        <w:rPr>
          <w:rFonts w:ascii="Arial" w:hAnsi="Arial" w:cs="Arial"/>
          <w:sz w:val="18"/>
          <w:szCs w:val="18"/>
        </w:rPr>
      </w:pPr>
      <w:r w:rsidRPr="005F6D82">
        <w:rPr>
          <w:rFonts w:ascii="Arial" w:hAnsi="Arial" w:cs="Arial"/>
          <w:sz w:val="18"/>
          <w:szCs w:val="18"/>
        </w:rPr>
        <w:t>The information contained within this announcement is deemed by the Company to constitute inside information as stipulated under the Market Abuse Regulations (EU) No. 596/2014 ('MAR') which has been incorporated into UK law by the European Union (Withdrawal) Act 2018.</w:t>
      </w:r>
    </w:p>
    <w:p w14:paraId="085E21CB" w14:textId="77777777" w:rsidR="001170BD" w:rsidRPr="005F6D82" w:rsidRDefault="001170BD" w:rsidP="001170BD">
      <w:pPr>
        <w:spacing w:line="340" w:lineRule="exact"/>
        <w:jc w:val="both"/>
        <w:rPr>
          <w:rFonts w:ascii="Arial" w:hAnsi="Arial" w:cs="Arial"/>
          <w:sz w:val="18"/>
          <w:szCs w:val="18"/>
        </w:rPr>
      </w:pPr>
    </w:p>
    <w:p w14:paraId="1E4316AE" w14:textId="77777777" w:rsidR="001170BD" w:rsidRPr="005F6D82" w:rsidRDefault="001170BD" w:rsidP="001170BD">
      <w:pPr>
        <w:autoSpaceDE w:val="0"/>
        <w:autoSpaceDN w:val="0"/>
        <w:adjustRightInd w:val="0"/>
        <w:spacing w:line="340" w:lineRule="exact"/>
        <w:jc w:val="both"/>
        <w:rPr>
          <w:rFonts w:ascii="Arial" w:hAnsi="Arial" w:cs="Arial"/>
          <w:sz w:val="18"/>
          <w:szCs w:val="18"/>
        </w:rPr>
      </w:pPr>
      <w:r w:rsidRPr="005F6D82">
        <w:rPr>
          <w:rFonts w:ascii="Arial" w:hAnsi="Arial" w:cs="Arial"/>
          <w:sz w:val="18"/>
          <w:szCs w:val="18"/>
        </w:rPr>
        <w:t xml:space="preserve">For further information please visit </w:t>
      </w:r>
      <w:hyperlink r:id="rId11" w:history="1">
        <w:r w:rsidRPr="005F6D82">
          <w:rPr>
            <w:rStyle w:val="Hyperlink"/>
            <w:rFonts w:ascii="Arial" w:hAnsi="Arial" w:cs="Arial"/>
            <w:sz w:val="18"/>
            <w:szCs w:val="18"/>
          </w:rPr>
          <w:t>http://www.bluejaymining.com</w:t>
        </w:r>
      </w:hyperlink>
      <w:r w:rsidRPr="005F6D82">
        <w:rPr>
          <w:rFonts w:ascii="Arial" w:hAnsi="Arial" w:cs="Arial"/>
          <w:sz w:val="18"/>
          <w:szCs w:val="18"/>
        </w:rPr>
        <w:t xml:space="preserve"> or contact:</w:t>
      </w:r>
    </w:p>
    <w:p w14:paraId="0EC9D1F4" w14:textId="77777777" w:rsidR="001170BD" w:rsidRPr="005F6D82" w:rsidRDefault="001170BD" w:rsidP="001170BD">
      <w:pPr>
        <w:autoSpaceDE w:val="0"/>
        <w:autoSpaceDN w:val="0"/>
        <w:adjustRightInd w:val="0"/>
        <w:spacing w:line="340" w:lineRule="exact"/>
        <w:jc w:val="both"/>
        <w:rPr>
          <w:rFonts w:ascii="Arial" w:hAnsi="Arial" w:cs="Arial"/>
          <w:sz w:val="18"/>
          <w:szCs w:val="18"/>
        </w:rPr>
      </w:pPr>
    </w:p>
    <w:tbl>
      <w:tblPr>
        <w:tblW w:w="9407" w:type="dxa"/>
        <w:tblInd w:w="-8" w:type="dxa"/>
        <w:tblLayout w:type="fixed"/>
        <w:tblLook w:val="0000" w:firstRow="0" w:lastRow="0" w:firstColumn="0" w:lastColumn="0" w:noHBand="0" w:noVBand="0"/>
      </w:tblPr>
      <w:tblGrid>
        <w:gridCol w:w="2977"/>
        <w:gridCol w:w="3544"/>
        <w:gridCol w:w="2886"/>
      </w:tblGrid>
      <w:tr w:rsidR="00753BB4" w:rsidRPr="00250CB2" w14:paraId="646B5A70" w14:textId="77777777" w:rsidTr="005F6D82">
        <w:trPr>
          <w:trHeight w:val="416"/>
        </w:trPr>
        <w:tc>
          <w:tcPr>
            <w:tcW w:w="2977" w:type="dxa"/>
            <w:tcBorders>
              <w:top w:val="single" w:sz="4" w:space="0" w:color="auto"/>
              <w:left w:val="single" w:sz="6" w:space="0" w:color="000000"/>
              <w:bottom w:val="single" w:sz="6" w:space="0" w:color="000000"/>
              <w:right w:val="single" w:sz="6" w:space="0" w:color="000000"/>
            </w:tcBorders>
            <w:shd w:val="clear" w:color="000000" w:fill="FFFFFF"/>
            <w:vAlign w:val="center"/>
          </w:tcPr>
          <w:p w14:paraId="6F882EB7" w14:textId="4DE0BCF8" w:rsidR="00753BB4" w:rsidRPr="005F6D82" w:rsidRDefault="00753BB4"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 xml:space="preserve">Kevin </w:t>
            </w:r>
            <w:proofErr w:type="spellStart"/>
            <w:r w:rsidRPr="005F6D82">
              <w:rPr>
                <w:rFonts w:ascii="Arial" w:hAnsi="Arial" w:cs="Arial"/>
                <w:sz w:val="18"/>
                <w:szCs w:val="18"/>
              </w:rPr>
              <w:t>Sheil</w:t>
            </w:r>
            <w:proofErr w:type="spellEnd"/>
          </w:p>
        </w:tc>
        <w:tc>
          <w:tcPr>
            <w:tcW w:w="3544" w:type="dxa"/>
            <w:tcBorders>
              <w:top w:val="single" w:sz="4" w:space="0" w:color="auto"/>
              <w:left w:val="nil"/>
              <w:bottom w:val="single" w:sz="6" w:space="0" w:color="000000"/>
              <w:right w:val="single" w:sz="6" w:space="0" w:color="000000"/>
            </w:tcBorders>
            <w:shd w:val="clear" w:color="000000" w:fill="FFFFFF"/>
            <w:vAlign w:val="center"/>
          </w:tcPr>
          <w:p w14:paraId="567521B5" w14:textId="77777777" w:rsidR="00753BB4" w:rsidRPr="005F6D82" w:rsidRDefault="00753BB4" w:rsidP="005F6D82">
            <w:pPr>
              <w:autoSpaceDE w:val="0"/>
              <w:autoSpaceDN w:val="0"/>
              <w:adjustRightInd w:val="0"/>
              <w:spacing w:before="60" w:after="60"/>
              <w:rPr>
                <w:rFonts w:ascii="Arial" w:hAnsi="Arial" w:cs="Arial"/>
                <w:sz w:val="18"/>
                <w:szCs w:val="18"/>
              </w:rPr>
            </w:pPr>
            <w:proofErr w:type="spellStart"/>
            <w:r w:rsidRPr="005F6D82">
              <w:rPr>
                <w:rFonts w:ascii="Arial" w:hAnsi="Arial" w:cs="Arial"/>
                <w:sz w:val="18"/>
                <w:szCs w:val="18"/>
              </w:rPr>
              <w:t>Bluejay</w:t>
            </w:r>
            <w:proofErr w:type="spellEnd"/>
            <w:r w:rsidRPr="005F6D82">
              <w:rPr>
                <w:rFonts w:ascii="Arial" w:hAnsi="Arial" w:cs="Arial"/>
                <w:sz w:val="18"/>
                <w:szCs w:val="18"/>
              </w:rPr>
              <w:t xml:space="preserve"> Mining plc</w:t>
            </w:r>
          </w:p>
        </w:tc>
        <w:tc>
          <w:tcPr>
            <w:tcW w:w="2886" w:type="dxa"/>
            <w:tcBorders>
              <w:top w:val="single" w:sz="4" w:space="0" w:color="auto"/>
              <w:left w:val="nil"/>
              <w:bottom w:val="single" w:sz="6" w:space="0" w:color="000000"/>
              <w:right w:val="single" w:sz="6" w:space="0" w:color="000000"/>
            </w:tcBorders>
            <w:shd w:val="clear" w:color="000000" w:fill="FFFFFF"/>
            <w:vAlign w:val="center"/>
          </w:tcPr>
          <w:p w14:paraId="669B0713" w14:textId="77777777" w:rsidR="00753BB4" w:rsidRPr="005F6D82" w:rsidRDefault="00753BB4"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enquiry@bluejaymining.com</w:t>
            </w:r>
          </w:p>
        </w:tc>
      </w:tr>
      <w:tr w:rsidR="001170BD" w:rsidRPr="00250CB2" w14:paraId="131B5F25" w14:textId="77777777" w:rsidTr="005F6D82">
        <w:trPr>
          <w:trHeight w:val="553"/>
        </w:trPr>
        <w:tc>
          <w:tcPr>
            <w:tcW w:w="2977" w:type="dxa"/>
            <w:tcBorders>
              <w:top w:val="nil"/>
              <w:left w:val="single" w:sz="6" w:space="0" w:color="000000"/>
              <w:bottom w:val="single" w:sz="6" w:space="0" w:color="000000"/>
              <w:right w:val="single" w:sz="6" w:space="0" w:color="000000"/>
            </w:tcBorders>
            <w:shd w:val="clear" w:color="000000" w:fill="FFFFFF"/>
            <w:vAlign w:val="center"/>
          </w:tcPr>
          <w:p w14:paraId="0579622B"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Ewan Leggat</w:t>
            </w:r>
            <w:r w:rsidR="005C2F66" w:rsidRPr="005F6D82">
              <w:rPr>
                <w:rFonts w:ascii="Arial" w:hAnsi="Arial" w:cs="Arial"/>
                <w:sz w:val="18"/>
                <w:szCs w:val="18"/>
              </w:rPr>
              <w:t>/</w:t>
            </w:r>
            <w:r w:rsidR="00CE621B" w:rsidRPr="005F6D82">
              <w:rPr>
                <w:rFonts w:ascii="Arial" w:hAnsi="Arial" w:cs="Arial"/>
                <w:sz w:val="18"/>
                <w:szCs w:val="18"/>
              </w:rPr>
              <w:t xml:space="preserve"> </w:t>
            </w:r>
            <w:r w:rsidR="005C2F66" w:rsidRPr="005F6D82">
              <w:rPr>
                <w:rFonts w:ascii="Arial" w:hAnsi="Arial" w:cs="Arial"/>
                <w:sz w:val="18"/>
                <w:szCs w:val="18"/>
              </w:rPr>
              <w:t>Adam Cowl</w:t>
            </w:r>
          </w:p>
        </w:tc>
        <w:tc>
          <w:tcPr>
            <w:tcW w:w="3544" w:type="dxa"/>
            <w:tcBorders>
              <w:top w:val="nil"/>
              <w:left w:val="nil"/>
              <w:bottom w:val="single" w:sz="6" w:space="0" w:color="000000"/>
              <w:right w:val="single" w:sz="6" w:space="0" w:color="000000"/>
            </w:tcBorders>
            <w:shd w:val="clear" w:color="000000" w:fill="FFFFFF"/>
            <w:vAlign w:val="center"/>
          </w:tcPr>
          <w:p w14:paraId="1CB7B92E"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 xml:space="preserve">SP Angel Corporate Finance </w:t>
            </w:r>
            <w:proofErr w:type="gramStart"/>
            <w:r w:rsidRPr="005F6D82">
              <w:rPr>
                <w:rFonts w:ascii="Arial" w:hAnsi="Arial" w:cs="Arial"/>
                <w:sz w:val="18"/>
                <w:szCs w:val="18"/>
              </w:rPr>
              <w:t>LLP(</w:t>
            </w:r>
            <w:proofErr w:type="gramEnd"/>
            <w:r w:rsidRPr="005F6D82">
              <w:rPr>
                <w:rFonts w:ascii="Arial" w:hAnsi="Arial" w:cs="Arial"/>
                <w:sz w:val="18"/>
                <w:szCs w:val="18"/>
              </w:rPr>
              <w:t xml:space="preserve">Nominated Adviser) </w:t>
            </w:r>
          </w:p>
        </w:tc>
        <w:tc>
          <w:tcPr>
            <w:tcW w:w="2886" w:type="dxa"/>
            <w:tcBorders>
              <w:top w:val="nil"/>
              <w:left w:val="nil"/>
              <w:bottom w:val="single" w:sz="6" w:space="0" w:color="000000"/>
              <w:right w:val="single" w:sz="6" w:space="0" w:color="000000"/>
            </w:tcBorders>
            <w:shd w:val="clear" w:color="000000" w:fill="FFFFFF"/>
            <w:vAlign w:val="center"/>
          </w:tcPr>
          <w:p w14:paraId="4F47DDF8"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+44 (0) 20 3470 0470</w:t>
            </w:r>
          </w:p>
        </w:tc>
      </w:tr>
      <w:tr w:rsidR="001170BD" w:rsidRPr="00250CB2" w14:paraId="7D9EB57B" w14:textId="77777777" w:rsidTr="005F6D82">
        <w:trPr>
          <w:trHeight w:val="337"/>
        </w:trPr>
        <w:tc>
          <w:tcPr>
            <w:tcW w:w="2977" w:type="dxa"/>
            <w:tcBorders>
              <w:top w:val="nil"/>
              <w:left w:val="single" w:sz="6" w:space="0" w:color="000000"/>
              <w:bottom w:val="single" w:sz="6" w:space="0" w:color="000000"/>
              <w:right w:val="single" w:sz="6" w:space="0" w:color="000000"/>
            </w:tcBorders>
            <w:shd w:val="clear" w:color="000000" w:fill="FFFFFF"/>
            <w:vAlign w:val="center"/>
          </w:tcPr>
          <w:p w14:paraId="1C1DBF13"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Andrew Chubb</w:t>
            </w:r>
          </w:p>
        </w:tc>
        <w:tc>
          <w:tcPr>
            <w:tcW w:w="3544" w:type="dxa"/>
            <w:tcBorders>
              <w:top w:val="nil"/>
              <w:left w:val="nil"/>
              <w:bottom w:val="single" w:sz="6" w:space="0" w:color="000000"/>
              <w:right w:val="single" w:sz="6" w:space="0" w:color="000000"/>
            </w:tcBorders>
            <w:shd w:val="clear" w:color="000000" w:fill="FFFFFF"/>
            <w:vAlign w:val="center"/>
          </w:tcPr>
          <w:p w14:paraId="3C37EAF5" w14:textId="77777777" w:rsidR="001170BD" w:rsidRPr="005F6D82" w:rsidRDefault="001170BD" w:rsidP="005F6D82">
            <w:pPr>
              <w:autoSpaceDE w:val="0"/>
              <w:autoSpaceDN w:val="0"/>
              <w:adjustRightInd w:val="0"/>
              <w:spacing w:before="60" w:after="60"/>
              <w:rPr>
                <w:rFonts w:ascii="Arial" w:hAnsi="Arial" w:cs="Arial"/>
                <w:sz w:val="18"/>
                <w:szCs w:val="18"/>
              </w:rPr>
            </w:pPr>
            <w:proofErr w:type="spellStart"/>
            <w:r w:rsidRPr="005F6D82">
              <w:rPr>
                <w:rFonts w:ascii="Arial" w:hAnsi="Arial" w:cs="Arial"/>
                <w:sz w:val="18"/>
                <w:szCs w:val="18"/>
              </w:rPr>
              <w:t>Hannam</w:t>
            </w:r>
            <w:proofErr w:type="spellEnd"/>
            <w:r w:rsidRPr="005F6D82">
              <w:rPr>
                <w:rFonts w:ascii="Arial" w:hAnsi="Arial" w:cs="Arial"/>
                <w:sz w:val="18"/>
                <w:szCs w:val="18"/>
              </w:rPr>
              <w:t xml:space="preserve"> &amp; Partners (Advisory) LLP</w:t>
            </w:r>
          </w:p>
        </w:tc>
        <w:tc>
          <w:tcPr>
            <w:tcW w:w="2886" w:type="dxa"/>
            <w:tcBorders>
              <w:top w:val="nil"/>
              <w:left w:val="nil"/>
              <w:bottom w:val="single" w:sz="6" w:space="0" w:color="000000"/>
              <w:right w:val="single" w:sz="6" w:space="0" w:color="000000"/>
            </w:tcBorders>
            <w:shd w:val="clear" w:color="000000" w:fill="FFFFFF"/>
            <w:vAlign w:val="center"/>
          </w:tcPr>
          <w:p w14:paraId="483D958A"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+44 (0) 20 7907 8500</w:t>
            </w:r>
          </w:p>
        </w:tc>
      </w:tr>
      <w:tr w:rsidR="001170BD" w:rsidRPr="00250CB2" w14:paraId="39AB597F" w14:textId="77777777" w:rsidTr="005F6D82">
        <w:trPr>
          <w:trHeight w:val="337"/>
        </w:trPr>
        <w:tc>
          <w:tcPr>
            <w:tcW w:w="2977" w:type="dxa"/>
            <w:tcBorders>
              <w:top w:val="nil"/>
              <w:left w:val="single" w:sz="6" w:space="0" w:color="000000"/>
              <w:bottom w:val="single" w:sz="6" w:space="0" w:color="000000"/>
              <w:right w:val="single" w:sz="6" w:space="0" w:color="000000"/>
            </w:tcBorders>
            <w:shd w:val="clear" w:color="000000" w:fill="FFFFFF"/>
            <w:vAlign w:val="center"/>
          </w:tcPr>
          <w:p w14:paraId="4CA53488" w14:textId="77777777" w:rsidR="001170BD" w:rsidRPr="005F6D82" w:rsidRDefault="00B03C25"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Tim Blythe</w:t>
            </w:r>
            <w:r w:rsidR="005C2F66" w:rsidRPr="005F6D82">
              <w:rPr>
                <w:rFonts w:ascii="Arial" w:hAnsi="Arial" w:cs="Arial"/>
                <w:sz w:val="18"/>
                <w:szCs w:val="18"/>
              </w:rPr>
              <w:t>/ Megan Ray</w:t>
            </w:r>
          </w:p>
        </w:tc>
        <w:tc>
          <w:tcPr>
            <w:tcW w:w="3544" w:type="dxa"/>
            <w:tcBorders>
              <w:top w:val="nil"/>
              <w:left w:val="nil"/>
              <w:bottom w:val="single" w:sz="6" w:space="0" w:color="000000"/>
              <w:right w:val="single" w:sz="6" w:space="0" w:color="000000"/>
            </w:tcBorders>
            <w:shd w:val="clear" w:color="000000" w:fill="FFFFFF"/>
            <w:vAlign w:val="center"/>
          </w:tcPr>
          <w:p w14:paraId="78DD2131" w14:textId="1D11EEBE" w:rsidR="001170BD" w:rsidRPr="005F6D82" w:rsidRDefault="002A191D" w:rsidP="005F6D82">
            <w:pPr>
              <w:autoSpaceDE w:val="0"/>
              <w:autoSpaceDN w:val="0"/>
              <w:adjustRightInd w:val="0"/>
              <w:spacing w:before="60" w:after="60"/>
              <w:rPr>
                <w:rFonts w:ascii="Arial" w:hAnsi="Arial" w:cs="Arial"/>
                <w:sz w:val="18"/>
                <w:szCs w:val="18"/>
              </w:rPr>
            </w:pPr>
            <w:proofErr w:type="spellStart"/>
            <w:r w:rsidRPr="005F6D82">
              <w:rPr>
                <w:rFonts w:ascii="Arial" w:hAnsi="Arial" w:cs="Arial"/>
                <w:sz w:val="18"/>
                <w:szCs w:val="18"/>
              </w:rPr>
              <w:t>Blythe</w:t>
            </w:r>
            <w:r>
              <w:rPr>
                <w:rFonts w:ascii="Arial" w:hAnsi="Arial" w:cs="Arial"/>
                <w:sz w:val="18"/>
                <w:szCs w:val="18"/>
              </w:rPr>
              <w:t>Ray</w:t>
            </w:r>
            <w:proofErr w:type="spellEnd"/>
          </w:p>
        </w:tc>
        <w:tc>
          <w:tcPr>
            <w:tcW w:w="2886" w:type="dxa"/>
            <w:tcBorders>
              <w:top w:val="nil"/>
              <w:left w:val="nil"/>
              <w:bottom w:val="single" w:sz="6" w:space="0" w:color="000000"/>
              <w:right w:val="single" w:sz="6" w:space="0" w:color="000000"/>
            </w:tcBorders>
            <w:shd w:val="clear" w:color="000000" w:fill="FFFFFF"/>
            <w:vAlign w:val="center"/>
          </w:tcPr>
          <w:p w14:paraId="564F4232" w14:textId="77777777" w:rsidR="001170BD" w:rsidRPr="005F6D82" w:rsidRDefault="001170BD" w:rsidP="005F6D82">
            <w:pPr>
              <w:autoSpaceDE w:val="0"/>
              <w:autoSpaceDN w:val="0"/>
              <w:adjustRightInd w:val="0"/>
              <w:spacing w:before="60" w:after="60"/>
              <w:rPr>
                <w:rFonts w:ascii="Arial" w:hAnsi="Arial" w:cs="Arial"/>
                <w:sz w:val="18"/>
                <w:szCs w:val="18"/>
              </w:rPr>
            </w:pPr>
            <w:r w:rsidRPr="005F6D82">
              <w:rPr>
                <w:rFonts w:ascii="Arial" w:hAnsi="Arial" w:cs="Arial"/>
                <w:sz w:val="18"/>
                <w:szCs w:val="18"/>
              </w:rPr>
              <w:t xml:space="preserve">+44 (0) 20 </w:t>
            </w:r>
            <w:r w:rsidR="00B03C25" w:rsidRPr="005F6D82">
              <w:rPr>
                <w:rFonts w:ascii="Arial" w:hAnsi="Arial" w:cs="Arial"/>
                <w:sz w:val="18"/>
                <w:szCs w:val="18"/>
              </w:rPr>
              <w:t>7138 3205</w:t>
            </w:r>
          </w:p>
        </w:tc>
      </w:tr>
    </w:tbl>
    <w:p w14:paraId="7D953519" w14:textId="77777777" w:rsidR="001170BD" w:rsidRPr="005F6D82" w:rsidRDefault="001170BD" w:rsidP="001170BD">
      <w:pPr>
        <w:spacing w:line="340" w:lineRule="exact"/>
        <w:jc w:val="both"/>
        <w:rPr>
          <w:rFonts w:ascii="Arial" w:hAnsi="Arial" w:cs="Arial"/>
          <w:sz w:val="18"/>
          <w:szCs w:val="18"/>
        </w:rPr>
      </w:pPr>
    </w:p>
    <w:p w14:paraId="602309B9" w14:textId="77777777" w:rsidR="00E92681" w:rsidRPr="005F6D82" w:rsidRDefault="00E92681" w:rsidP="002742A9">
      <w:pPr>
        <w:tabs>
          <w:tab w:val="decimal" w:pos="4723"/>
          <w:tab w:val="decimal" w:pos="6019"/>
          <w:tab w:val="decimal" w:pos="7315"/>
          <w:tab w:val="decimal" w:pos="8611"/>
          <w:tab w:val="decimal" w:pos="9878"/>
        </w:tabs>
        <w:suppressAutoHyphens/>
        <w:jc w:val="both"/>
        <w:rPr>
          <w:rFonts w:ascii="Arial" w:hAnsi="Arial" w:cs="Arial"/>
          <w:b/>
          <w:sz w:val="18"/>
          <w:szCs w:val="18"/>
        </w:rPr>
      </w:pPr>
    </w:p>
    <w:p w14:paraId="3B38F1F9" w14:textId="77777777" w:rsidR="00E92681" w:rsidRPr="005F6D82" w:rsidRDefault="00E92681" w:rsidP="002742A9">
      <w:pPr>
        <w:tabs>
          <w:tab w:val="decimal" w:pos="4723"/>
          <w:tab w:val="decimal" w:pos="6019"/>
          <w:tab w:val="decimal" w:pos="7315"/>
          <w:tab w:val="decimal" w:pos="8611"/>
          <w:tab w:val="decimal" w:pos="9878"/>
        </w:tabs>
        <w:suppressAutoHyphens/>
        <w:jc w:val="both"/>
        <w:rPr>
          <w:rFonts w:ascii="Arial" w:hAnsi="Arial" w:cs="Arial"/>
          <w:b/>
          <w:sz w:val="18"/>
          <w:szCs w:val="22"/>
        </w:rPr>
      </w:pPr>
    </w:p>
    <w:p w14:paraId="277D3028" w14:textId="77777777" w:rsidR="00830FBE" w:rsidRDefault="00830FBE">
      <w:pPr>
        <w:rPr>
          <w:rFonts w:ascii="Arial" w:hAnsi="Arial" w:cs="Arial"/>
          <w:b/>
          <w:sz w:val="22"/>
          <w:szCs w:val="22"/>
        </w:rPr>
      </w:pPr>
      <w:r>
        <w:rPr>
          <w:rFonts w:ascii="Arial" w:hAnsi="Arial" w:cs="Arial"/>
          <w:b/>
          <w:sz w:val="22"/>
          <w:szCs w:val="22"/>
        </w:rPr>
        <w:br w:type="page"/>
      </w:r>
    </w:p>
    <w:p w14:paraId="12A7A94A" w14:textId="25A78A9B" w:rsidR="002742A9" w:rsidRPr="00BB3DC8" w:rsidRDefault="00022BEA" w:rsidP="002742A9">
      <w:pPr>
        <w:tabs>
          <w:tab w:val="decimal" w:pos="4723"/>
          <w:tab w:val="decimal" w:pos="6019"/>
          <w:tab w:val="decimal" w:pos="7315"/>
          <w:tab w:val="decimal" w:pos="8611"/>
          <w:tab w:val="decimal" w:pos="9878"/>
        </w:tabs>
        <w:suppressAutoHyphens/>
        <w:jc w:val="both"/>
        <w:rPr>
          <w:rFonts w:ascii="Arial" w:hAnsi="Arial" w:cs="Arial"/>
          <w:b/>
          <w:sz w:val="22"/>
          <w:szCs w:val="22"/>
        </w:rPr>
      </w:pPr>
      <w:r w:rsidRPr="00BB3DC8">
        <w:rPr>
          <w:rFonts w:ascii="Arial" w:hAnsi="Arial" w:cs="Arial"/>
          <w:b/>
          <w:sz w:val="22"/>
          <w:szCs w:val="22"/>
        </w:rPr>
        <w:lastRenderedPageBreak/>
        <w:t>CONDENSED CONSOLIDATED STATEMENT OF COMPREHENSIVE INCOME</w:t>
      </w:r>
    </w:p>
    <w:p w14:paraId="45162877" w14:textId="77777777" w:rsidR="002742A9" w:rsidRPr="00BB3DC8" w:rsidRDefault="002742A9" w:rsidP="002742A9">
      <w:pPr>
        <w:tabs>
          <w:tab w:val="right" w:pos="9878"/>
        </w:tabs>
        <w:suppressAutoHyphens/>
        <w:jc w:val="both"/>
        <w:outlineLvl w:val="0"/>
        <w:rPr>
          <w:rFonts w:ascii="Arial" w:hAnsi="Arial" w:cs="Arial"/>
          <w:b/>
          <w:sz w:val="18"/>
          <w:szCs w:val="18"/>
        </w:rPr>
      </w:pPr>
    </w:p>
    <w:tbl>
      <w:tblPr>
        <w:tblW w:w="10031" w:type="dxa"/>
        <w:tblLayout w:type="fixed"/>
        <w:tblLook w:val="00A0" w:firstRow="1" w:lastRow="0" w:firstColumn="1" w:lastColumn="0" w:noHBand="0" w:noVBand="0"/>
      </w:tblPr>
      <w:tblGrid>
        <w:gridCol w:w="6204"/>
        <w:gridCol w:w="920"/>
        <w:gridCol w:w="1495"/>
        <w:gridCol w:w="1412"/>
      </w:tblGrid>
      <w:tr w:rsidR="005D3AC0" w:rsidRPr="00BB3DC8" w14:paraId="57AA7699" w14:textId="77777777" w:rsidTr="005D3AC0">
        <w:tc>
          <w:tcPr>
            <w:tcW w:w="6204" w:type="dxa"/>
            <w:tcBorders>
              <w:bottom w:val="single" w:sz="4" w:space="0" w:color="auto"/>
            </w:tcBorders>
          </w:tcPr>
          <w:p w14:paraId="7E1B39FD"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both"/>
              <w:rPr>
                <w:rFonts w:ascii="Arial" w:hAnsi="Arial" w:cs="Arial"/>
                <w:b/>
                <w:sz w:val="18"/>
                <w:szCs w:val="18"/>
              </w:rPr>
            </w:pPr>
          </w:p>
        </w:tc>
        <w:tc>
          <w:tcPr>
            <w:tcW w:w="920" w:type="dxa"/>
            <w:tcBorders>
              <w:bottom w:val="single" w:sz="4" w:space="0" w:color="auto"/>
            </w:tcBorders>
            <w:vAlign w:val="bottom"/>
          </w:tcPr>
          <w:p w14:paraId="758C9A2A"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center"/>
              <w:rPr>
                <w:rFonts w:ascii="Arial" w:hAnsi="Arial" w:cs="Arial"/>
                <w:b/>
                <w:sz w:val="16"/>
                <w:szCs w:val="16"/>
              </w:rPr>
            </w:pPr>
            <w:r w:rsidRPr="00BB3DC8">
              <w:rPr>
                <w:rFonts w:ascii="Arial" w:hAnsi="Arial" w:cs="Arial"/>
                <w:b/>
                <w:sz w:val="16"/>
                <w:szCs w:val="16"/>
              </w:rPr>
              <w:t>Notes</w:t>
            </w:r>
          </w:p>
        </w:tc>
        <w:tc>
          <w:tcPr>
            <w:tcW w:w="1495" w:type="dxa"/>
            <w:tcBorders>
              <w:bottom w:val="single" w:sz="4" w:space="0" w:color="auto"/>
            </w:tcBorders>
          </w:tcPr>
          <w:p w14:paraId="2E0335D2" w14:textId="7E088DDB" w:rsidR="005D3AC0" w:rsidRPr="00BB3DC8"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6</w:t>
            </w:r>
            <w:r w:rsidRPr="00BB3DC8">
              <w:rPr>
                <w:rFonts w:ascii="Arial" w:hAnsi="Arial" w:cs="Arial"/>
                <w:b/>
                <w:sz w:val="16"/>
                <w:szCs w:val="16"/>
              </w:rPr>
              <w:t xml:space="preserve"> months to 3</w:t>
            </w:r>
            <w:r>
              <w:rPr>
                <w:rFonts w:ascii="Arial" w:hAnsi="Arial" w:cs="Arial"/>
                <w:b/>
                <w:sz w:val="16"/>
                <w:szCs w:val="16"/>
              </w:rPr>
              <w:t>0</w:t>
            </w:r>
            <w:r w:rsidRPr="00BB3DC8">
              <w:rPr>
                <w:rFonts w:ascii="Arial" w:hAnsi="Arial" w:cs="Arial"/>
                <w:b/>
                <w:sz w:val="16"/>
                <w:szCs w:val="16"/>
              </w:rPr>
              <w:t xml:space="preserve"> </w:t>
            </w:r>
            <w:r>
              <w:rPr>
                <w:rFonts w:ascii="Arial" w:hAnsi="Arial" w:cs="Arial"/>
                <w:b/>
                <w:sz w:val="16"/>
                <w:szCs w:val="16"/>
              </w:rPr>
              <w:t>June</w:t>
            </w:r>
            <w:r w:rsidRPr="00BB3DC8">
              <w:rPr>
                <w:rFonts w:ascii="Arial" w:hAnsi="Arial" w:cs="Arial"/>
                <w:b/>
                <w:sz w:val="16"/>
                <w:szCs w:val="16"/>
              </w:rPr>
              <w:t xml:space="preserve"> 20</w:t>
            </w:r>
            <w:r>
              <w:rPr>
                <w:rFonts w:ascii="Arial" w:hAnsi="Arial" w:cs="Arial"/>
                <w:b/>
                <w:sz w:val="16"/>
                <w:szCs w:val="16"/>
              </w:rPr>
              <w:t>2</w:t>
            </w:r>
            <w:r w:rsidR="00994E2C">
              <w:rPr>
                <w:rFonts w:ascii="Arial" w:hAnsi="Arial" w:cs="Arial"/>
                <w:b/>
                <w:sz w:val="16"/>
                <w:szCs w:val="16"/>
              </w:rPr>
              <w:t>2</w:t>
            </w:r>
            <w:r w:rsidRPr="00BB3DC8">
              <w:rPr>
                <w:rFonts w:ascii="Arial" w:hAnsi="Arial" w:cs="Arial"/>
                <w:b/>
                <w:sz w:val="16"/>
                <w:szCs w:val="16"/>
              </w:rPr>
              <w:t xml:space="preserve"> Unaudited</w:t>
            </w:r>
          </w:p>
          <w:p w14:paraId="4C3476CE"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sidRPr="00BB3DC8">
              <w:rPr>
                <w:rFonts w:ascii="Arial" w:hAnsi="Arial" w:cs="Arial"/>
                <w:b/>
                <w:sz w:val="16"/>
                <w:szCs w:val="16"/>
              </w:rPr>
              <w:t>£</w:t>
            </w:r>
          </w:p>
        </w:tc>
        <w:tc>
          <w:tcPr>
            <w:tcW w:w="1412" w:type="dxa"/>
            <w:tcBorders>
              <w:bottom w:val="single" w:sz="4" w:space="0" w:color="auto"/>
            </w:tcBorders>
          </w:tcPr>
          <w:p w14:paraId="13BE9B8C" w14:textId="293708D1" w:rsidR="005D3AC0" w:rsidRPr="00BB3DC8"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6</w:t>
            </w:r>
            <w:r w:rsidRPr="00BB3DC8">
              <w:rPr>
                <w:rFonts w:ascii="Arial" w:hAnsi="Arial" w:cs="Arial"/>
                <w:b/>
                <w:sz w:val="16"/>
                <w:szCs w:val="16"/>
              </w:rPr>
              <w:t xml:space="preserve"> months to 3</w:t>
            </w:r>
            <w:r>
              <w:rPr>
                <w:rFonts w:ascii="Arial" w:hAnsi="Arial" w:cs="Arial"/>
                <w:b/>
                <w:sz w:val="16"/>
                <w:szCs w:val="16"/>
              </w:rPr>
              <w:t>0</w:t>
            </w:r>
            <w:r w:rsidRPr="00BB3DC8">
              <w:rPr>
                <w:rFonts w:ascii="Arial" w:hAnsi="Arial" w:cs="Arial"/>
                <w:b/>
                <w:sz w:val="16"/>
                <w:szCs w:val="16"/>
              </w:rPr>
              <w:t xml:space="preserve"> </w:t>
            </w:r>
            <w:r>
              <w:rPr>
                <w:rFonts w:ascii="Arial" w:hAnsi="Arial" w:cs="Arial"/>
                <w:b/>
                <w:sz w:val="16"/>
                <w:szCs w:val="16"/>
              </w:rPr>
              <w:t>June</w:t>
            </w:r>
            <w:r w:rsidRPr="00BB3DC8">
              <w:rPr>
                <w:rFonts w:ascii="Arial" w:hAnsi="Arial" w:cs="Arial"/>
                <w:b/>
                <w:sz w:val="16"/>
                <w:szCs w:val="16"/>
              </w:rPr>
              <w:t xml:space="preserve"> 20</w:t>
            </w:r>
            <w:r w:rsidR="00E06E1E">
              <w:rPr>
                <w:rFonts w:ascii="Arial" w:hAnsi="Arial" w:cs="Arial"/>
                <w:b/>
                <w:sz w:val="16"/>
                <w:szCs w:val="16"/>
              </w:rPr>
              <w:t>2</w:t>
            </w:r>
            <w:r w:rsidR="00994E2C">
              <w:rPr>
                <w:rFonts w:ascii="Arial" w:hAnsi="Arial" w:cs="Arial"/>
                <w:b/>
                <w:sz w:val="16"/>
                <w:szCs w:val="16"/>
              </w:rPr>
              <w:t>1</w:t>
            </w:r>
            <w:r w:rsidRPr="00BB3DC8">
              <w:rPr>
                <w:rFonts w:ascii="Arial" w:hAnsi="Arial" w:cs="Arial"/>
                <w:b/>
                <w:sz w:val="16"/>
                <w:szCs w:val="16"/>
              </w:rPr>
              <w:t xml:space="preserve"> Unaudited</w:t>
            </w:r>
          </w:p>
          <w:p w14:paraId="1262141E" w14:textId="77777777" w:rsidR="005D3AC0"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sidRPr="00BB3DC8">
              <w:rPr>
                <w:rFonts w:ascii="Arial" w:hAnsi="Arial" w:cs="Arial"/>
                <w:b/>
                <w:sz w:val="16"/>
                <w:szCs w:val="16"/>
              </w:rPr>
              <w:t>£</w:t>
            </w:r>
          </w:p>
        </w:tc>
      </w:tr>
      <w:tr w:rsidR="005D3AC0" w:rsidRPr="00BB3DC8" w14:paraId="638CE010" w14:textId="77777777" w:rsidTr="005D3AC0">
        <w:tc>
          <w:tcPr>
            <w:tcW w:w="6204" w:type="dxa"/>
            <w:vAlign w:val="bottom"/>
          </w:tcPr>
          <w:p w14:paraId="4194B229"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BB3DC8">
              <w:rPr>
                <w:rFonts w:ascii="Arial" w:hAnsi="Arial" w:cs="Arial"/>
                <w:b/>
                <w:sz w:val="18"/>
                <w:szCs w:val="18"/>
              </w:rPr>
              <w:t>Continuing operations</w:t>
            </w:r>
          </w:p>
        </w:tc>
        <w:tc>
          <w:tcPr>
            <w:tcW w:w="920" w:type="dxa"/>
            <w:vAlign w:val="bottom"/>
          </w:tcPr>
          <w:p w14:paraId="00839BED"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1495" w:type="dxa"/>
            <w:vAlign w:val="center"/>
          </w:tcPr>
          <w:p w14:paraId="54017C15"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p>
        </w:tc>
        <w:tc>
          <w:tcPr>
            <w:tcW w:w="1412" w:type="dxa"/>
            <w:vAlign w:val="center"/>
          </w:tcPr>
          <w:p w14:paraId="5802192E" w14:textId="77777777" w:rsidR="005D3AC0" w:rsidRPr="00BB3DC8" w:rsidRDefault="005D3AC0" w:rsidP="005D3AC0">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p>
        </w:tc>
      </w:tr>
      <w:tr w:rsidR="00E06E1E" w:rsidRPr="00BB3DC8" w14:paraId="43A5DFDC" w14:textId="77777777" w:rsidTr="005D3AC0">
        <w:trPr>
          <w:trHeight w:val="349"/>
        </w:trPr>
        <w:tc>
          <w:tcPr>
            <w:tcW w:w="6204" w:type="dxa"/>
            <w:vAlign w:val="bottom"/>
          </w:tcPr>
          <w:p w14:paraId="2E7CA44C" w14:textId="77777777" w:rsidR="00E06E1E" w:rsidRPr="00BB3DC8" w:rsidRDefault="00E06E1E" w:rsidP="00E06E1E">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BB3DC8">
              <w:rPr>
                <w:rFonts w:ascii="Arial" w:hAnsi="Arial" w:cs="Arial"/>
                <w:sz w:val="18"/>
                <w:szCs w:val="18"/>
              </w:rPr>
              <w:t xml:space="preserve">Revenue </w:t>
            </w:r>
          </w:p>
        </w:tc>
        <w:tc>
          <w:tcPr>
            <w:tcW w:w="920" w:type="dxa"/>
            <w:vAlign w:val="bottom"/>
          </w:tcPr>
          <w:p w14:paraId="7EB7D351" w14:textId="77777777" w:rsidR="00E06E1E" w:rsidRPr="00BB3DC8" w:rsidRDefault="00E06E1E" w:rsidP="00E06E1E">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1495" w:type="dxa"/>
            <w:vAlign w:val="bottom"/>
          </w:tcPr>
          <w:p w14:paraId="6D32D737" w14:textId="17997740" w:rsidR="00E06E1E" w:rsidRPr="00477A62" w:rsidRDefault="002D25D2" w:rsidP="00E06E1E">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w:t>
            </w:r>
          </w:p>
        </w:tc>
        <w:tc>
          <w:tcPr>
            <w:tcW w:w="1412" w:type="dxa"/>
            <w:vAlign w:val="bottom"/>
          </w:tcPr>
          <w:p w14:paraId="52773E82" w14:textId="77777777" w:rsidR="00E06E1E" w:rsidRPr="0021284C" w:rsidRDefault="00E06E1E" w:rsidP="00E06E1E">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sidRPr="00477A62">
              <w:rPr>
                <w:rFonts w:ascii="Arial" w:hAnsi="Arial" w:cs="Arial"/>
                <w:color w:val="000000" w:themeColor="text1"/>
                <w:sz w:val="18"/>
                <w:szCs w:val="18"/>
              </w:rPr>
              <w:t>-</w:t>
            </w:r>
          </w:p>
        </w:tc>
      </w:tr>
      <w:tr w:rsidR="00E95EB1" w:rsidRPr="00BB3DC8" w14:paraId="36809DAF" w14:textId="77777777" w:rsidTr="00CF1DC5">
        <w:tc>
          <w:tcPr>
            <w:tcW w:w="6204" w:type="dxa"/>
            <w:tcBorders>
              <w:bottom w:val="single" w:sz="4" w:space="0" w:color="auto"/>
            </w:tcBorders>
            <w:vAlign w:val="bottom"/>
          </w:tcPr>
          <w:p w14:paraId="4970331F" w14:textId="03508C57" w:rsidR="00E95EB1" w:rsidRPr="00BB3DC8" w:rsidRDefault="00E95EB1" w:rsidP="00E06E1E">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Cost of sales</w:t>
            </w:r>
          </w:p>
        </w:tc>
        <w:tc>
          <w:tcPr>
            <w:tcW w:w="920" w:type="dxa"/>
            <w:tcBorders>
              <w:bottom w:val="single" w:sz="4" w:space="0" w:color="auto"/>
            </w:tcBorders>
            <w:vAlign w:val="bottom"/>
          </w:tcPr>
          <w:p w14:paraId="7066019A" w14:textId="77777777" w:rsidR="00E95EB1" w:rsidRPr="00BB3DC8" w:rsidRDefault="00E95EB1" w:rsidP="00E06E1E">
            <w:pPr>
              <w:tabs>
                <w:tab w:val="decimal" w:pos="4723"/>
                <w:tab w:val="decimal" w:pos="6019"/>
                <w:tab w:val="decimal" w:pos="7315"/>
                <w:tab w:val="decimal" w:pos="8611"/>
                <w:tab w:val="decimal" w:pos="9878"/>
              </w:tabs>
              <w:suppressAutoHyphens/>
              <w:spacing w:after="60"/>
              <w:jc w:val="center"/>
              <w:rPr>
                <w:rFonts w:ascii="Arial" w:hAnsi="Arial" w:cs="Arial"/>
                <w:sz w:val="18"/>
                <w:szCs w:val="18"/>
                <w:lang w:eastAsia="en-US"/>
              </w:rPr>
            </w:pPr>
          </w:p>
        </w:tc>
        <w:tc>
          <w:tcPr>
            <w:tcW w:w="1495" w:type="dxa"/>
            <w:tcBorders>
              <w:bottom w:val="single" w:sz="4" w:space="0" w:color="auto"/>
            </w:tcBorders>
            <w:vAlign w:val="bottom"/>
          </w:tcPr>
          <w:p w14:paraId="14586CE1" w14:textId="3A4C78CE" w:rsidR="00E95EB1" w:rsidDel="00994E2C" w:rsidRDefault="0071060B" w:rsidP="00E06E1E">
            <w:pPr>
              <w:tabs>
                <w:tab w:val="decimal" w:pos="4723"/>
                <w:tab w:val="decimal" w:pos="6019"/>
                <w:tab w:val="decimal" w:pos="7315"/>
                <w:tab w:val="decimal" w:pos="8611"/>
                <w:tab w:val="decimal" w:pos="9878"/>
              </w:tabs>
              <w:suppressAutoHyphens/>
              <w:spacing w:after="60"/>
              <w:jc w:val="right"/>
              <w:rPr>
                <w:rFonts w:ascii="Arial" w:eastAsiaTheme="majorEastAsia" w:hAnsi="Arial" w:cs="Arial"/>
                <w:color w:val="000000" w:themeColor="text1"/>
                <w:sz w:val="18"/>
                <w:szCs w:val="18"/>
              </w:rPr>
            </w:pPr>
            <w:r>
              <w:rPr>
                <w:rFonts w:ascii="Arial" w:eastAsiaTheme="majorEastAsia" w:hAnsi="Arial" w:cs="Arial"/>
                <w:color w:val="000000" w:themeColor="text1"/>
                <w:sz w:val="18"/>
                <w:szCs w:val="18"/>
              </w:rPr>
              <w:t>-</w:t>
            </w:r>
          </w:p>
        </w:tc>
        <w:tc>
          <w:tcPr>
            <w:tcW w:w="1412" w:type="dxa"/>
            <w:tcBorders>
              <w:bottom w:val="single" w:sz="4" w:space="0" w:color="auto"/>
            </w:tcBorders>
            <w:vAlign w:val="bottom"/>
          </w:tcPr>
          <w:p w14:paraId="1F55B800" w14:textId="452207B9" w:rsidR="00E95EB1" w:rsidRDefault="00D374C7" w:rsidP="00E06E1E">
            <w:pPr>
              <w:tabs>
                <w:tab w:val="decimal" w:pos="4723"/>
                <w:tab w:val="decimal" w:pos="6019"/>
                <w:tab w:val="decimal" w:pos="7315"/>
                <w:tab w:val="decimal" w:pos="8611"/>
                <w:tab w:val="decimal" w:pos="9878"/>
              </w:tabs>
              <w:suppressAutoHyphens/>
              <w:spacing w:after="60"/>
              <w:jc w:val="right"/>
              <w:rPr>
                <w:rFonts w:ascii="Arial" w:eastAsiaTheme="majorEastAsia" w:hAnsi="Arial" w:cs="Arial"/>
                <w:color w:val="000000" w:themeColor="text1"/>
                <w:sz w:val="18"/>
                <w:szCs w:val="18"/>
              </w:rPr>
            </w:pPr>
            <w:r>
              <w:rPr>
                <w:rFonts w:ascii="Arial" w:eastAsiaTheme="majorEastAsia" w:hAnsi="Arial" w:cs="Arial"/>
                <w:color w:val="000000" w:themeColor="text1"/>
                <w:sz w:val="18"/>
                <w:szCs w:val="18"/>
              </w:rPr>
              <w:t>-</w:t>
            </w:r>
          </w:p>
        </w:tc>
      </w:tr>
      <w:tr w:rsidR="00E3250E" w:rsidRPr="00D50FD5" w14:paraId="367310E8" w14:textId="77777777" w:rsidTr="00CF1DC5">
        <w:tc>
          <w:tcPr>
            <w:tcW w:w="6204" w:type="dxa"/>
            <w:tcBorders>
              <w:top w:val="single" w:sz="4" w:space="0" w:color="auto"/>
              <w:bottom w:val="single" w:sz="4" w:space="0" w:color="auto"/>
            </w:tcBorders>
            <w:vAlign w:val="bottom"/>
          </w:tcPr>
          <w:p w14:paraId="353AB269" w14:textId="22C35B2B" w:rsidR="00E3250E" w:rsidRPr="00CF1DC5" w:rsidRDefault="005C64E4" w:rsidP="00CF1DC5">
            <w:pPr>
              <w:tabs>
                <w:tab w:val="decimal" w:pos="4723"/>
                <w:tab w:val="decimal" w:pos="6019"/>
                <w:tab w:val="decimal" w:pos="7315"/>
                <w:tab w:val="decimal" w:pos="8611"/>
                <w:tab w:val="decimal" w:pos="9878"/>
              </w:tabs>
              <w:suppressAutoHyphens/>
              <w:spacing w:before="120" w:after="60"/>
              <w:rPr>
                <w:rFonts w:ascii="Arial" w:hAnsi="Arial" w:cs="Arial"/>
                <w:b/>
                <w:sz w:val="18"/>
                <w:szCs w:val="18"/>
              </w:rPr>
            </w:pPr>
            <w:r>
              <w:rPr>
                <w:rFonts w:ascii="Arial" w:hAnsi="Arial" w:cs="Arial"/>
                <w:b/>
                <w:sz w:val="18"/>
                <w:szCs w:val="18"/>
              </w:rPr>
              <w:t xml:space="preserve">Gross </w:t>
            </w:r>
            <w:r w:rsidR="00716273">
              <w:rPr>
                <w:rFonts w:ascii="Arial" w:hAnsi="Arial" w:cs="Arial"/>
                <w:b/>
                <w:sz w:val="18"/>
                <w:szCs w:val="18"/>
              </w:rPr>
              <w:t>(loss)</w:t>
            </w:r>
          </w:p>
        </w:tc>
        <w:tc>
          <w:tcPr>
            <w:tcW w:w="920" w:type="dxa"/>
            <w:tcBorders>
              <w:top w:val="single" w:sz="4" w:space="0" w:color="auto"/>
              <w:bottom w:val="single" w:sz="4" w:space="0" w:color="auto"/>
            </w:tcBorders>
            <w:vAlign w:val="bottom"/>
          </w:tcPr>
          <w:p w14:paraId="27DB2469" w14:textId="77777777" w:rsidR="00E3250E" w:rsidRPr="00CF1DC5" w:rsidRDefault="00E3250E" w:rsidP="00CF1DC5">
            <w:pPr>
              <w:tabs>
                <w:tab w:val="decimal" w:pos="4723"/>
                <w:tab w:val="decimal" w:pos="6019"/>
                <w:tab w:val="decimal" w:pos="7315"/>
                <w:tab w:val="decimal" w:pos="8611"/>
                <w:tab w:val="decimal" w:pos="9878"/>
              </w:tabs>
              <w:suppressAutoHyphens/>
              <w:spacing w:before="120" w:after="60"/>
              <w:rPr>
                <w:rFonts w:ascii="Arial" w:hAnsi="Arial" w:cs="Arial"/>
                <w:b/>
                <w:sz w:val="18"/>
                <w:szCs w:val="18"/>
              </w:rPr>
            </w:pPr>
          </w:p>
        </w:tc>
        <w:tc>
          <w:tcPr>
            <w:tcW w:w="1495" w:type="dxa"/>
            <w:tcBorders>
              <w:top w:val="single" w:sz="4" w:space="0" w:color="auto"/>
              <w:bottom w:val="single" w:sz="4" w:space="0" w:color="auto"/>
            </w:tcBorders>
            <w:vAlign w:val="bottom"/>
          </w:tcPr>
          <w:p w14:paraId="1D10A7D0" w14:textId="3B8D3C6A" w:rsidR="00E3250E" w:rsidRPr="00CF1DC5" w:rsidRDefault="0071060B" w:rsidP="00CF1DC5">
            <w:pPr>
              <w:tabs>
                <w:tab w:val="decimal" w:pos="4723"/>
                <w:tab w:val="decimal" w:pos="6019"/>
                <w:tab w:val="decimal" w:pos="7315"/>
                <w:tab w:val="decimal" w:pos="8611"/>
                <w:tab w:val="decimal" w:pos="9878"/>
              </w:tabs>
              <w:suppressAutoHyphens/>
              <w:spacing w:before="120" w:after="60"/>
              <w:jc w:val="right"/>
              <w:rPr>
                <w:rFonts w:ascii="Arial" w:hAnsi="Arial" w:cs="Arial"/>
                <w:b/>
                <w:sz w:val="18"/>
                <w:szCs w:val="18"/>
              </w:rPr>
            </w:pPr>
            <w:r>
              <w:rPr>
                <w:rFonts w:ascii="Arial" w:hAnsi="Arial" w:cs="Arial"/>
                <w:b/>
                <w:sz w:val="18"/>
                <w:szCs w:val="18"/>
              </w:rPr>
              <w:t>-</w:t>
            </w:r>
          </w:p>
        </w:tc>
        <w:tc>
          <w:tcPr>
            <w:tcW w:w="1412" w:type="dxa"/>
            <w:tcBorders>
              <w:top w:val="single" w:sz="4" w:space="0" w:color="auto"/>
              <w:bottom w:val="single" w:sz="4" w:space="0" w:color="auto"/>
            </w:tcBorders>
            <w:vAlign w:val="bottom"/>
          </w:tcPr>
          <w:p w14:paraId="23029DF9" w14:textId="77594714" w:rsidR="00E3250E" w:rsidRPr="00CF1DC5" w:rsidRDefault="00D50FD5" w:rsidP="00CF1DC5">
            <w:pPr>
              <w:tabs>
                <w:tab w:val="decimal" w:pos="4723"/>
                <w:tab w:val="decimal" w:pos="6019"/>
                <w:tab w:val="decimal" w:pos="7315"/>
                <w:tab w:val="decimal" w:pos="8611"/>
                <w:tab w:val="decimal" w:pos="9878"/>
              </w:tabs>
              <w:suppressAutoHyphens/>
              <w:spacing w:before="120" w:after="60"/>
              <w:jc w:val="right"/>
              <w:rPr>
                <w:rFonts w:ascii="Arial" w:hAnsi="Arial" w:cs="Arial"/>
                <w:b/>
                <w:sz w:val="18"/>
                <w:szCs w:val="18"/>
              </w:rPr>
            </w:pPr>
            <w:r w:rsidRPr="00CF1DC5">
              <w:rPr>
                <w:rFonts w:ascii="Arial" w:hAnsi="Arial" w:cs="Arial"/>
                <w:b/>
                <w:sz w:val="18"/>
                <w:szCs w:val="18"/>
              </w:rPr>
              <w:t>-</w:t>
            </w:r>
          </w:p>
        </w:tc>
      </w:tr>
      <w:tr w:rsidR="00E3250E" w:rsidRPr="00BB3DC8" w14:paraId="1AE6F9C2" w14:textId="77777777" w:rsidTr="00CF1DC5">
        <w:tc>
          <w:tcPr>
            <w:tcW w:w="6204" w:type="dxa"/>
            <w:tcBorders>
              <w:top w:val="single" w:sz="4" w:space="0" w:color="auto"/>
            </w:tcBorders>
            <w:vAlign w:val="bottom"/>
          </w:tcPr>
          <w:p w14:paraId="4D89E492" w14:textId="77777777" w:rsidR="00E3250E" w:rsidRPr="00295DDB" w:rsidRDefault="00E3250E" w:rsidP="00E3250E">
            <w:pPr>
              <w:tabs>
                <w:tab w:val="decimal" w:pos="4723"/>
                <w:tab w:val="decimal" w:pos="6019"/>
                <w:tab w:val="decimal" w:pos="7315"/>
                <w:tab w:val="decimal" w:pos="8611"/>
                <w:tab w:val="decimal" w:pos="9878"/>
              </w:tabs>
              <w:suppressAutoHyphens/>
              <w:spacing w:after="60"/>
              <w:rPr>
                <w:rFonts w:ascii="Arial" w:eastAsiaTheme="majorEastAsia" w:hAnsi="Arial" w:cs="Arial"/>
                <w:color w:val="404040" w:themeColor="text1" w:themeTint="BF"/>
                <w:sz w:val="18"/>
                <w:szCs w:val="18"/>
              </w:rPr>
            </w:pPr>
            <w:r w:rsidRPr="00295DDB">
              <w:rPr>
                <w:rFonts w:ascii="Arial" w:hAnsi="Arial" w:cs="Arial"/>
                <w:sz w:val="18"/>
                <w:szCs w:val="18"/>
              </w:rPr>
              <w:t>Administration expenses</w:t>
            </w:r>
          </w:p>
        </w:tc>
        <w:tc>
          <w:tcPr>
            <w:tcW w:w="920" w:type="dxa"/>
            <w:tcBorders>
              <w:top w:val="single" w:sz="4" w:space="0" w:color="auto"/>
            </w:tcBorders>
            <w:vAlign w:val="bottom"/>
          </w:tcPr>
          <w:p w14:paraId="3E129339" w14:textId="77777777" w:rsidR="00E3250E" w:rsidRPr="00295DDB" w:rsidRDefault="00E3250E" w:rsidP="00E3250E">
            <w:pPr>
              <w:tabs>
                <w:tab w:val="decimal" w:pos="4723"/>
                <w:tab w:val="decimal" w:pos="6019"/>
                <w:tab w:val="decimal" w:pos="7315"/>
                <w:tab w:val="decimal" w:pos="8611"/>
                <w:tab w:val="decimal" w:pos="9878"/>
              </w:tabs>
              <w:suppressAutoHyphens/>
              <w:spacing w:after="60"/>
              <w:jc w:val="center"/>
              <w:rPr>
                <w:rFonts w:ascii="Arial" w:hAnsi="Arial" w:cs="Arial"/>
                <w:sz w:val="18"/>
                <w:szCs w:val="18"/>
                <w:lang w:eastAsia="en-US"/>
              </w:rPr>
            </w:pPr>
          </w:p>
        </w:tc>
        <w:tc>
          <w:tcPr>
            <w:tcW w:w="1495" w:type="dxa"/>
            <w:tcBorders>
              <w:top w:val="single" w:sz="4" w:space="0" w:color="auto"/>
            </w:tcBorders>
            <w:vAlign w:val="bottom"/>
          </w:tcPr>
          <w:p w14:paraId="69A6D7E8" w14:textId="5B548E98" w:rsidR="00E3250E" w:rsidRPr="00295DDB" w:rsidRDefault="00E3250E" w:rsidP="00E3250E">
            <w:pPr>
              <w:tabs>
                <w:tab w:val="decimal" w:pos="4723"/>
                <w:tab w:val="decimal" w:pos="6019"/>
                <w:tab w:val="decimal" w:pos="7315"/>
                <w:tab w:val="decimal" w:pos="8611"/>
                <w:tab w:val="decimal" w:pos="9878"/>
              </w:tabs>
              <w:suppressAutoHyphens/>
              <w:spacing w:after="60"/>
              <w:jc w:val="right"/>
              <w:rPr>
                <w:rFonts w:ascii="Arial" w:eastAsiaTheme="majorEastAsia" w:hAnsi="Arial" w:cs="Arial"/>
                <w:color w:val="000000" w:themeColor="text1"/>
                <w:sz w:val="18"/>
                <w:szCs w:val="18"/>
              </w:rPr>
            </w:pPr>
            <w:r w:rsidRPr="00295DDB">
              <w:rPr>
                <w:rFonts w:ascii="Arial" w:eastAsiaTheme="majorEastAsia" w:hAnsi="Arial" w:cs="Arial"/>
                <w:color w:val="000000" w:themeColor="text1"/>
                <w:sz w:val="18"/>
                <w:szCs w:val="18"/>
              </w:rPr>
              <w:t>(</w:t>
            </w:r>
            <w:r w:rsidR="0071060B" w:rsidRPr="00295DDB">
              <w:rPr>
                <w:rFonts w:ascii="Arial" w:eastAsiaTheme="majorEastAsia" w:hAnsi="Arial" w:cs="Arial"/>
                <w:color w:val="000000" w:themeColor="text1"/>
                <w:sz w:val="18"/>
                <w:szCs w:val="18"/>
              </w:rPr>
              <w:t>868,57</w:t>
            </w:r>
            <w:r w:rsidR="00295DDB" w:rsidRPr="00295DDB">
              <w:rPr>
                <w:rFonts w:ascii="Arial" w:eastAsiaTheme="majorEastAsia" w:hAnsi="Arial" w:cs="Arial"/>
                <w:color w:val="000000" w:themeColor="text1"/>
                <w:sz w:val="18"/>
                <w:szCs w:val="18"/>
              </w:rPr>
              <w:t>3</w:t>
            </w:r>
            <w:r w:rsidRPr="00295DDB">
              <w:rPr>
                <w:rFonts w:ascii="Arial" w:eastAsiaTheme="majorEastAsia" w:hAnsi="Arial" w:cs="Arial"/>
                <w:color w:val="000000" w:themeColor="text1"/>
                <w:sz w:val="18"/>
                <w:szCs w:val="18"/>
              </w:rPr>
              <w:t>)</w:t>
            </w:r>
          </w:p>
        </w:tc>
        <w:tc>
          <w:tcPr>
            <w:tcW w:w="1412" w:type="dxa"/>
            <w:tcBorders>
              <w:top w:val="single" w:sz="4" w:space="0" w:color="auto"/>
            </w:tcBorders>
            <w:vAlign w:val="bottom"/>
          </w:tcPr>
          <w:p w14:paraId="40B5D631" w14:textId="446EFD95" w:rsidR="00E3250E" w:rsidRPr="00295DDB" w:rsidRDefault="00E3250E" w:rsidP="00E3250E">
            <w:pPr>
              <w:tabs>
                <w:tab w:val="decimal" w:pos="4723"/>
                <w:tab w:val="decimal" w:pos="6019"/>
                <w:tab w:val="decimal" w:pos="7315"/>
                <w:tab w:val="decimal" w:pos="8611"/>
                <w:tab w:val="decimal" w:pos="9878"/>
              </w:tabs>
              <w:suppressAutoHyphens/>
              <w:spacing w:after="60"/>
              <w:jc w:val="right"/>
              <w:rPr>
                <w:rFonts w:ascii="Arial" w:hAnsi="Arial" w:cs="Arial"/>
                <w:color w:val="000000" w:themeColor="text1"/>
                <w:sz w:val="18"/>
                <w:szCs w:val="18"/>
              </w:rPr>
            </w:pPr>
            <w:r w:rsidRPr="00295DDB">
              <w:rPr>
                <w:rFonts w:ascii="Arial" w:eastAsiaTheme="majorEastAsia" w:hAnsi="Arial" w:cs="Arial"/>
                <w:color w:val="000000" w:themeColor="text1"/>
                <w:sz w:val="18"/>
                <w:szCs w:val="18"/>
              </w:rPr>
              <w:t>(1,399,314)</w:t>
            </w:r>
          </w:p>
        </w:tc>
      </w:tr>
      <w:tr w:rsidR="00E3250E" w:rsidRPr="00BB3DC8" w14:paraId="10898835" w14:textId="77777777" w:rsidTr="00CF1DC5">
        <w:tc>
          <w:tcPr>
            <w:tcW w:w="6204" w:type="dxa"/>
            <w:vAlign w:val="bottom"/>
          </w:tcPr>
          <w:p w14:paraId="2A0846CB" w14:textId="77777777" w:rsidR="00E3250E" w:rsidRPr="00295DDB" w:rsidRDefault="00E3250E" w:rsidP="00E3250E">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295DDB">
              <w:rPr>
                <w:rFonts w:ascii="Arial" w:hAnsi="Arial" w:cs="Arial"/>
                <w:sz w:val="18"/>
                <w:szCs w:val="18"/>
              </w:rPr>
              <w:t>Other gains/(losses)</w:t>
            </w:r>
          </w:p>
        </w:tc>
        <w:tc>
          <w:tcPr>
            <w:tcW w:w="920" w:type="dxa"/>
            <w:vAlign w:val="bottom"/>
          </w:tcPr>
          <w:p w14:paraId="1A909FE2" w14:textId="55EF4811" w:rsidR="00E3250E" w:rsidRPr="00295DDB" w:rsidRDefault="00E3250E" w:rsidP="00E3250E">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1495" w:type="dxa"/>
            <w:vAlign w:val="bottom"/>
          </w:tcPr>
          <w:p w14:paraId="3952552D" w14:textId="68E524EB" w:rsidR="00E3250E" w:rsidRPr="00295DDB" w:rsidRDefault="00295DDB" w:rsidP="00E3250E">
            <w:pPr>
              <w:tabs>
                <w:tab w:val="decimal" w:pos="4723"/>
                <w:tab w:val="decimal" w:pos="6019"/>
                <w:tab w:val="decimal" w:pos="7315"/>
                <w:tab w:val="decimal" w:pos="8611"/>
                <w:tab w:val="decimal" w:pos="9878"/>
              </w:tabs>
              <w:suppressAutoHyphens/>
              <w:spacing w:after="60"/>
              <w:jc w:val="right"/>
              <w:rPr>
                <w:rFonts w:ascii="Arial" w:eastAsiaTheme="majorEastAsia" w:hAnsi="Arial" w:cs="Arial"/>
                <w:color w:val="000000" w:themeColor="text1"/>
                <w:sz w:val="18"/>
                <w:szCs w:val="18"/>
              </w:rPr>
            </w:pPr>
            <w:r w:rsidRPr="0051151D">
              <w:rPr>
                <w:rFonts w:ascii="Arial" w:eastAsiaTheme="majorEastAsia" w:hAnsi="Arial" w:cs="Arial"/>
                <w:color w:val="000000" w:themeColor="text1"/>
                <w:sz w:val="18"/>
                <w:szCs w:val="18"/>
              </w:rPr>
              <w:t>25,624</w:t>
            </w:r>
          </w:p>
        </w:tc>
        <w:tc>
          <w:tcPr>
            <w:tcW w:w="1412" w:type="dxa"/>
            <w:vAlign w:val="bottom"/>
          </w:tcPr>
          <w:p w14:paraId="269A8268" w14:textId="7DCC1E7A" w:rsidR="00E3250E" w:rsidRPr="00295DDB" w:rsidRDefault="00E3250E" w:rsidP="00E3250E">
            <w:pPr>
              <w:tabs>
                <w:tab w:val="decimal" w:pos="4723"/>
                <w:tab w:val="decimal" w:pos="6019"/>
                <w:tab w:val="decimal" w:pos="7315"/>
                <w:tab w:val="decimal" w:pos="8611"/>
                <w:tab w:val="decimal" w:pos="9878"/>
              </w:tabs>
              <w:suppressAutoHyphens/>
              <w:spacing w:after="60"/>
              <w:jc w:val="right"/>
              <w:rPr>
                <w:rFonts w:ascii="Arial" w:hAnsi="Arial" w:cs="Arial"/>
                <w:color w:val="000000" w:themeColor="text1"/>
                <w:sz w:val="18"/>
                <w:szCs w:val="18"/>
              </w:rPr>
            </w:pPr>
            <w:r w:rsidRPr="00295DDB">
              <w:rPr>
                <w:rFonts w:ascii="Arial" w:eastAsiaTheme="majorEastAsia" w:hAnsi="Arial" w:cs="Arial"/>
                <w:color w:val="000000" w:themeColor="text1"/>
                <w:sz w:val="18"/>
                <w:szCs w:val="18"/>
              </w:rPr>
              <w:t>(566)</w:t>
            </w:r>
          </w:p>
        </w:tc>
      </w:tr>
      <w:tr w:rsidR="00E3250E" w:rsidRPr="00BB3DC8" w14:paraId="4C4DF0AC" w14:textId="77777777" w:rsidTr="005D3AC0">
        <w:tc>
          <w:tcPr>
            <w:tcW w:w="6204" w:type="dxa"/>
            <w:vAlign w:val="bottom"/>
          </w:tcPr>
          <w:p w14:paraId="073B041E" w14:textId="77777777" w:rsidR="00E3250E" w:rsidRPr="00295DDB" w:rsidRDefault="00E3250E" w:rsidP="00E3250E">
            <w:pPr>
              <w:tabs>
                <w:tab w:val="decimal" w:pos="4723"/>
                <w:tab w:val="decimal" w:pos="6019"/>
                <w:tab w:val="decimal" w:pos="7315"/>
                <w:tab w:val="decimal" w:pos="8611"/>
                <w:tab w:val="decimal" w:pos="9878"/>
              </w:tabs>
              <w:suppressAutoHyphens/>
              <w:spacing w:after="60"/>
              <w:rPr>
                <w:rFonts w:ascii="Arial" w:eastAsiaTheme="majorEastAsia" w:hAnsi="Arial" w:cs="Arial"/>
                <w:color w:val="404040" w:themeColor="text1" w:themeTint="BF"/>
                <w:sz w:val="18"/>
                <w:szCs w:val="18"/>
              </w:rPr>
            </w:pPr>
            <w:r w:rsidRPr="00295DDB">
              <w:rPr>
                <w:rFonts w:ascii="Arial" w:hAnsi="Arial" w:cs="Arial"/>
                <w:sz w:val="18"/>
                <w:szCs w:val="18"/>
              </w:rPr>
              <w:t>Foreign exchange</w:t>
            </w:r>
          </w:p>
        </w:tc>
        <w:tc>
          <w:tcPr>
            <w:tcW w:w="920" w:type="dxa"/>
            <w:vAlign w:val="bottom"/>
          </w:tcPr>
          <w:p w14:paraId="7E19A279" w14:textId="77777777" w:rsidR="00E3250E" w:rsidRPr="00295DDB" w:rsidRDefault="00E3250E" w:rsidP="00E3250E">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1495" w:type="dxa"/>
            <w:vAlign w:val="bottom"/>
          </w:tcPr>
          <w:p w14:paraId="387B0946" w14:textId="1F1CFBC6" w:rsidR="00E3250E" w:rsidRPr="00295DDB" w:rsidRDefault="00E3250E" w:rsidP="00E3250E">
            <w:pPr>
              <w:tabs>
                <w:tab w:val="decimal" w:pos="4723"/>
                <w:tab w:val="decimal" w:pos="6019"/>
                <w:tab w:val="decimal" w:pos="7315"/>
                <w:tab w:val="decimal" w:pos="8611"/>
                <w:tab w:val="decimal" w:pos="9878"/>
              </w:tabs>
              <w:suppressAutoHyphens/>
              <w:spacing w:after="60"/>
              <w:jc w:val="right"/>
              <w:rPr>
                <w:rFonts w:ascii="Arial" w:eastAsiaTheme="majorEastAsia" w:hAnsi="Arial" w:cs="Arial"/>
                <w:color w:val="000000" w:themeColor="text1"/>
                <w:sz w:val="18"/>
                <w:szCs w:val="18"/>
              </w:rPr>
            </w:pPr>
            <w:r w:rsidRPr="00295DDB">
              <w:rPr>
                <w:rFonts w:ascii="Arial" w:eastAsiaTheme="majorEastAsia" w:hAnsi="Arial" w:cs="Arial"/>
                <w:color w:val="000000" w:themeColor="text1"/>
                <w:sz w:val="18"/>
                <w:szCs w:val="18"/>
              </w:rPr>
              <w:t>(15,</w:t>
            </w:r>
            <w:r w:rsidR="00295DDB" w:rsidRPr="00295DDB">
              <w:rPr>
                <w:rFonts w:ascii="Arial" w:eastAsiaTheme="majorEastAsia" w:hAnsi="Arial" w:cs="Arial"/>
                <w:color w:val="000000" w:themeColor="text1"/>
                <w:sz w:val="18"/>
                <w:szCs w:val="18"/>
              </w:rPr>
              <w:t>828</w:t>
            </w:r>
            <w:r w:rsidRPr="00295DDB">
              <w:rPr>
                <w:rFonts w:ascii="Arial" w:eastAsiaTheme="majorEastAsia" w:hAnsi="Arial" w:cs="Arial"/>
                <w:color w:val="000000" w:themeColor="text1"/>
                <w:sz w:val="18"/>
                <w:szCs w:val="18"/>
              </w:rPr>
              <w:t>)</w:t>
            </w:r>
          </w:p>
        </w:tc>
        <w:tc>
          <w:tcPr>
            <w:tcW w:w="1412" w:type="dxa"/>
            <w:vAlign w:val="bottom"/>
          </w:tcPr>
          <w:p w14:paraId="631F8C15" w14:textId="518BA574" w:rsidR="00E3250E" w:rsidRPr="00295DDB" w:rsidRDefault="00E3250E" w:rsidP="00E3250E">
            <w:pPr>
              <w:tabs>
                <w:tab w:val="decimal" w:pos="4723"/>
                <w:tab w:val="decimal" w:pos="6019"/>
                <w:tab w:val="decimal" w:pos="7315"/>
                <w:tab w:val="decimal" w:pos="8611"/>
                <w:tab w:val="decimal" w:pos="9878"/>
              </w:tabs>
              <w:suppressAutoHyphens/>
              <w:spacing w:after="60"/>
              <w:jc w:val="right"/>
              <w:rPr>
                <w:rFonts w:ascii="Arial" w:hAnsi="Arial" w:cs="Arial"/>
                <w:color w:val="000000" w:themeColor="text1"/>
                <w:sz w:val="18"/>
                <w:szCs w:val="18"/>
              </w:rPr>
            </w:pPr>
            <w:r w:rsidRPr="00295DDB">
              <w:rPr>
                <w:rFonts w:ascii="Arial" w:eastAsiaTheme="majorEastAsia" w:hAnsi="Arial" w:cs="Arial"/>
                <w:color w:val="000000" w:themeColor="text1"/>
                <w:sz w:val="18"/>
                <w:szCs w:val="18"/>
              </w:rPr>
              <w:t>32,450</w:t>
            </w:r>
          </w:p>
        </w:tc>
      </w:tr>
      <w:tr w:rsidR="00E3250E" w:rsidRPr="00BB3DC8" w14:paraId="111A82D3" w14:textId="77777777" w:rsidTr="002D25D2">
        <w:tc>
          <w:tcPr>
            <w:tcW w:w="6204" w:type="dxa"/>
            <w:tcBorders>
              <w:top w:val="single" w:sz="4" w:space="0" w:color="auto"/>
              <w:bottom w:val="single" w:sz="4" w:space="0" w:color="auto"/>
            </w:tcBorders>
            <w:vAlign w:val="bottom"/>
          </w:tcPr>
          <w:p w14:paraId="4B13DB63" w14:textId="565169B2" w:rsidR="00E3250E" w:rsidRPr="00295DDB" w:rsidRDefault="002D25D2" w:rsidP="00E3250E">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295DDB">
              <w:rPr>
                <w:rFonts w:ascii="Arial" w:hAnsi="Arial" w:cs="Arial"/>
                <w:b/>
                <w:sz w:val="18"/>
                <w:szCs w:val="18"/>
              </w:rPr>
              <w:t>Operating loss</w:t>
            </w:r>
          </w:p>
        </w:tc>
        <w:tc>
          <w:tcPr>
            <w:tcW w:w="920" w:type="dxa"/>
            <w:tcBorders>
              <w:top w:val="single" w:sz="4" w:space="0" w:color="auto"/>
              <w:bottom w:val="single" w:sz="4" w:space="0" w:color="auto"/>
            </w:tcBorders>
            <w:vAlign w:val="bottom"/>
          </w:tcPr>
          <w:p w14:paraId="53D44998" w14:textId="77777777" w:rsidR="00E3250E" w:rsidRPr="00295DDB" w:rsidRDefault="00E3250E" w:rsidP="00E3250E">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1495" w:type="dxa"/>
            <w:tcBorders>
              <w:top w:val="single" w:sz="4" w:space="0" w:color="auto"/>
              <w:bottom w:val="single" w:sz="4" w:space="0" w:color="auto"/>
            </w:tcBorders>
            <w:vAlign w:val="bottom"/>
          </w:tcPr>
          <w:p w14:paraId="121823E3" w14:textId="5F87D0F7" w:rsidR="00E3250E" w:rsidRPr="00295DDB" w:rsidRDefault="00295DDB" w:rsidP="00295DDB">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sidRPr="0051151D">
              <w:rPr>
                <w:rFonts w:ascii="Arial" w:hAnsi="Arial" w:cs="Arial"/>
                <w:b/>
                <w:color w:val="000000" w:themeColor="text1"/>
                <w:sz w:val="18"/>
                <w:szCs w:val="18"/>
              </w:rPr>
              <w:t>(</w:t>
            </w:r>
            <w:r w:rsidRPr="00295DDB">
              <w:rPr>
                <w:rFonts w:ascii="Arial" w:hAnsi="Arial" w:cs="Arial"/>
                <w:b/>
                <w:color w:val="000000" w:themeColor="text1"/>
                <w:sz w:val="18"/>
                <w:szCs w:val="18"/>
              </w:rPr>
              <w:t>858,777)</w:t>
            </w:r>
          </w:p>
        </w:tc>
        <w:tc>
          <w:tcPr>
            <w:tcW w:w="1412" w:type="dxa"/>
            <w:tcBorders>
              <w:top w:val="single" w:sz="4" w:space="0" w:color="auto"/>
              <w:bottom w:val="single" w:sz="4" w:space="0" w:color="auto"/>
            </w:tcBorders>
            <w:vAlign w:val="bottom"/>
          </w:tcPr>
          <w:p w14:paraId="432582DF" w14:textId="6AA37871" w:rsidR="00E3250E" w:rsidRPr="00295DDB" w:rsidRDefault="00E3250E" w:rsidP="00E3250E">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sidRPr="00295DDB">
              <w:rPr>
                <w:rFonts w:ascii="Arial" w:hAnsi="Arial" w:cs="Arial"/>
                <w:b/>
                <w:color w:val="000000" w:themeColor="text1"/>
                <w:sz w:val="18"/>
                <w:szCs w:val="18"/>
              </w:rPr>
              <w:t>(1,</w:t>
            </w:r>
            <w:r w:rsidR="00463501" w:rsidRPr="00295DDB">
              <w:rPr>
                <w:rFonts w:ascii="Arial" w:hAnsi="Arial" w:cs="Arial"/>
                <w:b/>
                <w:color w:val="000000" w:themeColor="text1"/>
                <w:sz w:val="18"/>
                <w:szCs w:val="18"/>
              </w:rPr>
              <w:t>367,430</w:t>
            </w:r>
            <w:r w:rsidRPr="00295DDB">
              <w:rPr>
                <w:rFonts w:ascii="Arial" w:hAnsi="Arial" w:cs="Arial"/>
                <w:b/>
                <w:color w:val="000000" w:themeColor="text1"/>
                <w:sz w:val="18"/>
                <w:szCs w:val="18"/>
              </w:rPr>
              <w:t>)</w:t>
            </w:r>
          </w:p>
        </w:tc>
      </w:tr>
      <w:tr w:rsidR="002D25D2" w:rsidRPr="00BB3DC8" w14:paraId="35EF0196" w14:textId="77777777" w:rsidTr="0051151D">
        <w:tc>
          <w:tcPr>
            <w:tcW w:w="6204" w:type="dxa"/>
            <w:tcBorders>
              <w:top w:val="single" w:sz="4" w:space="0" w:color="auto"/>
            </w:tcBorders>
            <w:vAlign w:val="bottom"/>
          </w:tcPr>
          <w:p w14:paraId="7157EE56" w14:textId="78686EEA" w:rsidR="002D25D2" w:rsidRDefault="0071060B" w:rsidP="005C64E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Pr>
                <w:rFonts w:ascii="Arial" w:hAnsi="Arial" w:cs="Arial"/>
                <w:sz w:val="18"/>
                <w:szCs w:val="18"/>
              </w:rPr>
              <w:t>Management fee</w:t>
            </w:r>
          </w:p>
        </w:tc>
        <w:tc>
          <w:tcPr>
            <w:tcW w:w="920" w:type="dxa"/>
            <w:tcBorders>
              <w:top w:val="single" w:sz="4" w:space="0" w:color="auto"/>
            </w:tcBorders>
            <w:vAlign w:val="bottom"/>
          </w:tcPr>
          <w:p w14:paraId="555F3AB9" w14:textId="59740962" w:rsidR="002D25D2" w:rsidRPr="00BB3DC8" w:rsidRDefault="00490FF5" w:rsidP="005C64E4">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r>
              <w:rPr>
                <w:rFonts w:ascii="Arial" w:hAnsi="Arial" w:cs="Arial"/>
                <w:sz w:val="18"/>
                <w:szCs w:val="18"/>
              </w:rPr>
              <w:t>8</w:t>
            </w:r>
          </w:p>
        </w:tc>
        <w:tc>
          <w:tcPr>
            <w:tcW w:w="1495" w:type="dxa"/>
            <w:tcBorders>
              <w:top w:val="single" w:sz="4" w:space="0" w:color="auto"/>
            </w:tcBorders>
            <w:vAlign w:val="bottom"/>
          </w:tcPr>
          <w:p w14:paraId="415CB12F" w14:textId="33D3E581" w:rsidR="002D25D2" w:rsidRDefault="002D25D2" w:rsidP="005C64E4">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836,361</w:t>
            </w:r>
          </w:p>
        </w:tc>
        <w:tc>
          <w:tcPr>
            <w:tcW w:w="1412" w:type="dxa"/>
            <w:tcBorders>
              <w:top w:val="single" w:sz="4" w:space="0" w:color="auto"/>
            </w:tcBorders>
            <w:vAlign w:val="bottom"/>
          </w:tcPr>
          <w:p w14:paraId="1C063A15" w14:textId="6249500E" w:rsidR="002D25D2" w:rsidRDefault="002D25D2" w:rsidP="005C64E4">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w:t>
            </w:r>
          </w:p>
        </w:tc>
      </w:tr>
      <w:tr w:rsidR="005C64E4" w:rsidRPr="00BB3DC8" w14:paraId="071A5C6D" w14:textId="77777777" w:rsidTr="0051151D">
        <w:tc>
          <w:tcPr>
            <w:tcW w:w="6204" w:type="dxa"/>
            <w:vAlign w:val="bottom"/>
          </w:tcPr>
          <w:p w14:paraId="67D1C760" w14:textId="28ED517D" w:rsidR="00EE4C4A" w:rsidRPr="00BB3DC8" w:rsidRDefault="005C64E4" w:rsidP="005C64E4">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Pr>
                <w:rFonts w:ascii="Arial" w:hAnsi="Arial" w:cs="Arial"/>
                <w:sz w:val="18"/>
                <w:szCs w:val="18"/>
              </w:rPr>
              <w:t>Net f</w:t>
            </w:r>
            <w:r w:rsidRPr="00BB3DC8">
              <w:rPr>
                <w:rFonts w:ascii="Arial" w:hAnsi="Arial" w:cs="Arial"/>
                <w:sz w:val="18"/>
                <w:szCs w:val="18"/>
              </w:rPr>
              <w:t xml:space="preserve">inance </w:t>
            </w:r>
            <w:r>
              <w:rPr>
                <w:rFonts w:ascii="Arial" w:hAnsi="Arial" w:cs="Arial"/>
                <w:sz w:val="18"/>
                <w:szCs w:val="18"/>
              </w:rPr>
              <w:t>(expense)</w:t>
            </w:r>
          </w:p>
        </w:tc>
        <w:tc>
          <w:tcPr>
            <w:tcW w:w="920" w:type="dxa"/>
            <w:vAlign w:val="bottom"/>
          </w:tcPr>
          <w:p w14:paraId="75DAA04A" w14:textId="77777777" w:rsidR="005C64E4" w:rsidRPr="00BB3DC8" w:rsidRDefault="005C64E4" w:rsidP="005C64E4">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1495" w:type="dxa"/>
            <w:vAlign w:val="bottom"/>
          </w:tcPr>
          <w:p w14:paraId="5F441EBB" w14:textId="4D38FC48" w:rsidR="005C64E4" w:rsidRDefault="005C64E4" w:rsidP="005C64E4">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Pr>
                <w:rFonts w:ascii="Arial" w:hAnsi="Arial" w:cs="Arial"/>
                <w:color w:val="000000" w:themeColor="text1"/>
                <w:sz w:val="18"/>
                <w:szCs w:val="18"/>
              </w:rPr>
              <w:t>(885)</w:t>
            </w:r>
          </w:p>
        </w:tc>
        <w:tc>
          <w:tcPr>
            <w:tcW w:w="1412" w:type="dxa"/>
            <w:vAlign w:val="bottom"/>
          </w:tcPr>
          <w:p w14:paraId="535BE2D8" w14:textId="1E3342BB" w:rsidR="005C64E4" w:rsidRDefault="005C64E4" w:rsidP="005C64E4">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Pr>
                <w:rFonts w:ascii="Arial" w:hAnsi="Arial" w:cs="Arial"/>
                <w:color w:val="000000" w:themeColor="text1"/>
                <w:sz w:val="18"/>
                <w:szCs w:val="18"/>
              </w:rPr>
              <w:t>(1,507)</w:t>
            </w:r>
          </w:p>
        </w:tc>
      </w:tr>
      <w:tr w:rsidR="0071060B" w:rsidRPr="00BB3DC8" w14:paraId="5276A37F" w14:textId="77777777" w:rsidTr="0051151D">
        <w:tc>
          <w:tcPr>
            <w:tcW w:w="6204" w:type="dxa"/>
            <w:tcBorders>
              <w:bottom w:val="single" w:sz="4" w:space="0" w:color="auto"/>
            </w:tcBorders>
            <w:vAlign w:val="bottom"/>
          </w:tcPr>
          <w:p w14:paraId="695D4B70" w14:textId="444FFCE3" w:rsidR="0071060B" w:rsidRDefault="0071060B" w:rsidP="005C64E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Pr>
                <w:rFonts w:ascii="Arial" w:hAnsi="Arial" w:cs="Arial"/>
                <w:sz w:val="18"/>
                <w:szCs w:val="18"/>
              </w:rPr>
              <w:t>Share of loss in joint venture</w:t>
            </w:r>
          </w:p>
        </w:tc>
        <w:tc>
          <w:tcPr>
            <w:tcW w:w="920" w:type="dxa"/>
            <w:tcBorders>
              <w:bottom w:val="single" w:sz="4" w:space="0" w:color="auto"/>
            </w:tcBorders>
            <w:vAlign w:val="bottom"/>
          </w:tcPr>
          <w:p w14:paraId="3B23FC34" w14:textId="335BDE49" w:rsidR="0071060B" w:rsidRPr="00BB3DC8" w:rsidRDefault="006879D2" w:rsidP="005C64E4">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r>
              <w:rPr>
                <w:rFonts w:ascii="Arial" w:hAnsi="Arial" w:cs="Arial"/>
                <w:sz w:val="18"/>
                <w:szCs w:val="18"/>
              </w:rPr>
              <w:t>7</w:t>
            </w:r>
          </w:p>
        </w:tc>
        <w:tc>
          <w:tcPr>
            <w:tcW w:w="1495" w:type="dxa"/>
            <w:tcBorders>
              <w:bottom w:val="single" w:sz="4" w:space="0" w:color="auto"/>
            </w:tcBorders>
            <w:vAlign w:val="bottom"/>
          </w:tcPr>
          <w:p w14:paraId="6E8F1BAC" w14:textId="4416C8AF" w:rsidR="0071060B" w:rsidRDefault="00C60494" w:rsidP="005C64E4">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(1,565,378)</w:t>
            </w:r>
          </w:p>
        </w:tc>
        <w:tc>
          <w:tcPr>
            <w:tcW w:w="1412" w:type="dxa"/>
            <w:tcBorders>
              <w:bottom w:val="single" w:sz="4" w:space="0" w:color="auto"/>
            </w:tcBorders>
            <w:vAlign w:val="bottom"/>
          </w:tcPr>
          <w:p w14:paraId="03258BF3" w14:textId="7424FCA9" w:rsidR="0071060B" w:rsidRDefault="0071060B" w:rsidP="005C64E4">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w:t>
            </w:r>
          </w:p>
        </w:tc>
      </w:tr>
      <w:tr w:rsidR="002D25D2" w:rsidRPr="00BB3DC8" w14:paraId="762CD3AB" w14:textId="77777777" w:rsidTr="005D3AC0">
        <w:tc>
          <w:tcPr>
            <w:tcW w:w="6204" w:type="dxa"/>
            <w:tcBorders>
              <w:top w:val="single" w:sz="4" w:space="0" w:color="auto"/>
              <w:bottom w:val="single" w:sz="4" w:space="0" w:color="auto"/>
            </w:tcBorders>
            <w:vAlign w:val="bottom"/>
          </w:tcPr>
          <w:p w14:paraId="6F174A73" w14:textId="4075059B" w:rsidR="002D25D2"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2D25D2">
              <w:rPr>
                <w:rFonts w:ascii="Arial" w:hAnsi="Arial" w:cs="Arial"/>
                <w:b/>
                <w:sz w:val="18"/>
                <w:szCs w:val="18"/>
              </w:rPr>
              <w:t>Loss before income tax</w:t>
            </w:r>
          </w:p>
        </w:tc>
        <w:tc>
          <w:tcPr>
            <w:tcW w:w="920" w:type="dxa"/>
            <w:tcBorders>
              <w:top w:val="single" w:sz="4" w:space="0" w:color="auto"/>
              <w:bottom w:val="single" w:sz="4" w:space="0" w:color="auto"/>
            </w:tcBorders>
            <w:vAlign w:val="bottom"/>
          </w:tcPr>
          <w:p w14:paraId="6B901E21"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1495" w:type="dxa"/>
            <w:tcBorders>
              <w:top w:val="single" w:sz="4" w:space="0" w:color="auto"/>
              <w:bottom w:val="single" w:sz="4" w:space="0" w:color="auto"/>
            </w:tcBorders>
            <w:vAlign w:val="bottom"/>
          </w:tcPr>
          <w:p w14:paraId="12E0B7AD" w14:textId="6464E585" w:rsidR="002D25D2" w:rsidRDefault="00295DDB"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b/>
                <w:color w:val="000000" w:themeColor="text1"/>
                <w:sz w:val="18"/>
                <w:szCs w:val="18"/>
              </w:rPr>
              <w:t>(1,588,679)</w:t>
            </w:r>
          </w:p>
        </w:tc>
        <w:tc>
          <w:tcPr>
            <w:tcW w:w="1412" w:type="dxa"/>
            <w:tcBorders>
              <w:top w:val="single" w:sz="4" w:space="0" w:color="auto"/>
              <w:bottom w:val="single" w:sz="4" w:space="0" w:color="auto"/>
            </w:tcBorders>
            <w:vAlign w:val="bottom"/>
          </w:tcPr>
          <w:p w14:paraId="51F319AD" w14:textId="0B4CA69F" w:rsidR="002D25D2" w:rsidRDefault="00567E7A"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b/>
                <w:color w:val="000000" w:themeColor="text1"/>
                <w:sz w:val="18"/>
                <w:szCs w:val="18"/>
              </w:rPr>
              <w:t>(1,368,937)</w:t>
            </w:r>
          </w:p>
        </w:tc>
      </w:tr>
      <w:tr w:rsidR="002D25D2" w:rsidRPr="00BB3DC8" w14:paraId="376356DE" w14:textId="77777777" w:rsidTr="005D3AC0">
        <w:tc>
          <w:tcPr>
            <w:tcW w:w="6204" w:type="dxa"/>
            <w:tcBorders>
              <w:top w:val="single" w:sz="4" w:space="0" w:color="auto"/>
              <w:bottom w:val="single" w:sz="4" w:space="0" w:color="auto"/>
            </w:tcBorders>
            <w:vAlign w:val="bottom"/>
          </w:tcPr>
          <w:p w14:paraId="41199C03"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Pr>
                <w:rFonts w:ascii="Arial" w:hAnsi="Arial" w:cs="Arial"/>
                <w:sz w:val="18"/>
                <w:szCs w:val="18"/>
              </w:rPr>
              <w:t>Income</w:t>
            </w:r>
            <w:r w:rsidRPr="00BB3DC8">
              <w:rPr>
                <w:rFonts w:ascii="Arial" w:hAnsi="Arial" w:cs="Arial"/>
                <w:sz w:val="18"/>
                <w:szCs w:val="18"/>
              </w:rPr>
              <w:t xml:space="preserve"> tax expense</w:t>
            </w:r>
          </w:p>
        </w:tc>
        <w:tc>
          <w:tcPr>
            <w:tcW w:w="920" w:type="dxa"/>
            <w:tcBorders>
              <w:top w:val="single" w:sz="4" w:space="0" w:color="auto"/>
              <w:bottom w:val="single" w:sz="4" w:space="0" w:color="auto"/>
            </w:tcBorders>
            <w:vAlign w:val="bottom"/>
          </w:tcPr>
          <w:p w14:paraId="0E83043F"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1495" w:type="dxa"/>
            <w:tcBorders>
              <w:top w:val="single" w:sz="4" w:space="0" w:color="auto"/>
              <w:bottom w:val="single" w:sz="4" w:space="0" w:color="auto"/>
            </w:tcBorders>
            <w:vAlign w:val="bottom"/>
          </w:tcPr>
          <w:p w14:paraId="5346A09B" w14:textId="77777777" w:rsidR="002D25D2" w:rsidRPr="00477A62"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Pr>
                <w:rFonts w:ascii="Arial" w:hAnsi="Arial" w:cs="Arial"/>
                <w:b/>
                <w:color w:val="000000" w:themeColor="text1"/>
                <w:sz w:val="18"/>
                <w:szCs w:val="18"/>
              </w:rPr>
              <w:t>-</w:t>
            </w:r>
          </w:p>
        </w:tc>
        <w:tc>
          <w:tcPr>
            <w:tcW w:w="1412" w:type="dxa"/>
            <w:tcBorders>
              <w:top w:val="single" w:sz="4" w:space="0" w:color="auto"/>
              <w:bottom w:val="single" w:sz="4" w:space="0" w:color="auto"/>
            </w:tcBorders>
            <w:vAlign w:val="bottom"/>
          </w:tcPr>
          <w:p w14:paraId="578C2B3B"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sidRPr="00477A62">
              <w:rPr>
                <w:rFonts w:ascii="Arial" w:hAnsi="Arial" w:cs="Arial"/>
                <w:b/>
                <w:color w:val="000000" w:themeColor="text1"/>
                <w:sz w:val="18"/>
                <w:szCs w:val="18"/>
              </w:rPr>
              <w:t>-</w:t>
            </w:r>
          </w:p>
        </w:tc>
      </w:tr>
      <w:tr w:rsidR="002D25D2" w:rsidRPr="00BB3DC8" w14:paraId="3A421778" w14:textId="77777777" w:rsidTr="005D3AC0">
        <w:trPr>
          <w:trHeight w:val="328"/>
        </w:trPr>
        <w:tc>
          <w:tcPr>
            <w:tcW w:w="6204" w:type="dxa"/>
            <w:tcBorders>
              <w:top w:val="single" w:sz="4" w:space="0" w:color="auto"/>
              <w:bottom w:val="single" w:sz="4" w:space="0" w:color="auto"/>
            </w:tcBorders>
            <w:vAlign w:val="bottom"/>
          </w:tcPr>
          <w:p w14:paraId="790853B8" w14:textId="56767B02" w:rsidR="002D25D2" w:rsidRPr="00BB3DC8" w:rsidRDefault="002D25D2" w:rsidP="002D25D2">
            <w:pPr>
              <w:tabs>
                <w:tab w:val="decimal" w:pos="4723"/>
                <w:tab w:val="decimal" w:pos="6019"/>
                <w:tab w:val="decimal" w:pos="7315"/>
                <w:tab w:val="decimal" w:pos="8611"/>
                <w:tab w:val="decimal" w:pos="9878"/>
              </w:tabs>
              <w:suppressAutoHyphens/>
              <w:spacing w:before="120" w:after="60"/>
              <w:rPr>
                <w:rFonts w:ascii="Arial" w:hAnsi="Arial" w:cs="Arial"/>
                <w:b/>
                <w:sz w:val="18"/>
                <w:szCs w:val="18"/>
              </w:rPr>
            </w:pPr>
            <w:r>
              <w:rPr>
                <w:rFonts w:ascii="Arial" w:hAnsi="Arial" w:cs="Arial"/>
                <w:b/>
                <w:sz w:val="18"/>
                <w:szCs w:val="18"/>
              </w:rPr>
              <w:t>Profit/(</w:t>
            </w:r>
            <w:r w:rsidRPr="00BB3DC8">
              <w:rPr>
                <w:rFonts w:ascii="Arial" w:hAnsi="Arial" w:cs="Arial"/>
                <w:b/>
                <w:sz w:val="18"/>
                <w:szCs w:val="18"/>
              </w:rPr>
              <w:t>Loss</w:t>
            </w:r>
            <w:r>
              <w:rPr>
                <w:rFonts w:ascii="Arial" w:hAnsi="Arial" w:cs="Arial"/>
                <w:b/>
                <w:sz w:val="18"/>
                <w:szCs w:val="18"/>
              </w:rPr>
              <w:t>)</w:t>
            </w:r>
            <w:r w:rsidRPr="00BB3DC8">
              <w:rPr>
                <w:rFonts w:ascii="Arial" w:hAnsi="Arial" w:cs="Arial"/>
                <w:b/>
                <w:sz w:val="18"/>
                <w:szCs w:val="18"/>
              </w:rPr>
              <w:t xml:space="preserve"> for the period</w:t>
            </w:r>
          </w:p>
        </w:tc>
        <w:tc>
          <w:tcPr>
            <w:tcW w:w="920" w:type="dxa"/>
            <w:tcBorders>
              <w:top w:val="single" w:sz="4" w:space="0" w:color="auto"/>
              <w:bottom w:val="single" w:sz="4" w:space="0" w:color="auto"/>
            </w:tcBorders>
            <w:vAlign w:val="bottom"/>
          </w:tcPr>
          <w:p w14:paraId="4F80A836"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1495" w:type="dxa"/>
            <w:tcBorders>
              <w:top w:val="single" w:sz="4" w:space="0" w:color="auto"/>
              <w:bottom w:val="single" w:sz="4" w:space="0" w:color="auto"/>
            </w:tcBorders>
            <w:vAlign w:val="bottom"/>
          </w:tcPr>
          <w:p w14:paraId="15C20EE3" w14:textId="0DC613D5" w:rsidR="002D25D2" w:rsidRPr="00477A62" w:rsidRDefault="00295DDB" w:rsidP="002D25D2">
            <w:pPr>
              <w:tabs>
                <w:tab w:val="decimal" w:pos="4723"/>
                <w:tab w:val="decimal" w:pos="6019"/>
                <w:tab w:val="decimal" w:pos="7315"/>
                <w:tab w:val="decimal" w:pos="8611"/>
                <w:tab w:val="decimal" w:pos="9878"/>
              </w:tabs>
              <w:suppressAutoHyphens/>
              <w:spacing w:before="120" w:after="60"/>
              <w:jc w:val="right"/>
              <w:rPr>
                <w:rFonts w:ascii="Arial" w:hAnsi="Arial" w:cs="Arial"/>
                <w:b/>
                <w:color w:val="000000" w:themeColor="text1"/>
                <w:sz w:val="18"/>
                <w:szCs w:val="18"/>
              </w:rPr>
            </w:pPr>
            <w:r>
              <w:rPr>
                <w:rFonts w:ascii="Arial" w:hAnsi="Arial" w:cs="Arial"/>
                <w:b/>
                <w:color w:val="000000" w:themeColor="text1"/>
                <w:sz w:val="18"/>
                <w:szCs w:val="18"/>
              </w:rPr>
              <w:t>(1,588,679)</w:t>
            </w:r>
          </w:p>
        </w:tc>
        <w:tc>
          <w:tcPr>
            <w:tcW w:w="1412" w:type="dxa"/>
            <w:tcBorders>
              <w:top w:val="single" w:sz="4" w:space="0" w:color="auto"/>
              <w:bottom w:val="single" w:sz="4" w:space="0" w:color="auto"/>
            </w:tcBorders>
            <w:vAlign w:val="bottom"/>
          </w:tcPr>
          <w:p w14:paraId="50C1EA30" w14:textId="42923B4A"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Pr>
                <w:rFonts w:ascii="Arial" w:hAnsi="Arial" w:cs="Arial"/>
                <w:b/>
                <w:color w:val="000000" w:themeColor="text1"/>
                <w:sz w:val="18"/>
                <w:szCs w:val="18"/>
              </w:rPr>
              <w:t>(1,368,937)</w:t>
            </w:r>
          </w:p>
        </w:tc>
      </w:tr>
      <w:tr w:rsidR="002D25D2" w:rsidRPr="00BB3DC8" w14:paraId="51D7EF03" w14:textId="77777777" w:rsidTr="005D3AC0">
        <w:tc>
          <w:tcPr>
            <w:tcW w:w="6204" w:type="dxa"/>
            <w:tcBorders>
              <w:top w:val="single" w:sz="4" w:space="0" w:color="auto"/>
            </w:tcBorders>
            <w:vAlign w:val="bottom"/>
          </w:tcPr>
          <w:p w14:paraId="148B1CE1"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BB3DC8">
              <w:rPr>
                <w:rFonts w:ascii="Arial" w:hAnsi="Arial" w:cs="Arial"/>
                <w:b/>
                <w:sz w:val="18"/>
                <w:szCs w:val="18"/>
              </w:rPr>
              <w:t>Other comprehensive income</w:t>
            </w:r>
          </w:p>
        </w:tc>
        <w:tc>
          <w:tcPr>
            <w:tcW w:w="920" w:type="dxa"/>
            <w:tcBorders>
              <w:top w:val="single" w:sz="4" w:space="0" w:color="auto"/>
            </w:tcBorders>
            <w:vAlign w:val="bottom"/>
          </w:tcPr>
          <w:p w14:paraId="37DFA5C0" w14:textId="77777777" w:rsidR="002D25D2" w:rsidRPr="00BB3DC8" w:rsidRDefault="002D25D2" w:rsidP="002D25D2">
            <w:pPr>
              <w:tabs>
                <w:tab w:val="decimal" w:pos="4723"/>
                <w:tab w:val="decimal" w:pos="6019"/>
                <w:tab w:val="decimal" w:pos="7315"/>
                <w:tab w:val="decimal" w:pos="8611"/>
                <w:tab w:val="decimal" w:pos="9878"/>
              </w:tabs>
              <w:suppressAutoHyphens/>
              <w:spacing w:before="60"/>
              <w:jc w:val="center"/>
              <w:rPr>
                <w:rFonts w:ascii="Arial" w:hAnsi="Arial" w:cs="Arial"/>
                <w:sz w:val="18"/>
                <w:szCs w:val="18"/>
              </w:rPr>
            </w:pPr>
          </w:p>
        </w:tc>
        <w:tc>
          <w:tcPr>
            <w:tcW w:w="1495" w:type="dxa"/>
            <w:tcBorders>
              <w:top w:val="single" w:sz="4" w:space="0" w:color="auto"/>
            </w:tcBorders>
            <w:vAlign w:val="bottom"/>
          </w:tcPr>
          <w:p w14:paraId="19E69191"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highlight w:val="yellow"/>
              </w:rPr>
            </w:pPr>
          </w:p>
        </w:tc>
        <w:tc>
          <w:tcPr>
            <w:tcW w:w="1412" w:type="dxa"/>
            <w:tcBorders>
              <w:top w:val="single" w:sz="4" w:space="0" w:color="auto"/>
            </w:tcBorders>
            <w:vAlign w:val="bottom"/>
          </w:tcPr>
          <w:p w14:paraId="3D6B20D9"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p>
        </w:tc>
      </w:tr>
      <w:tr w:rsidR="002D25D2" w:rsidRPr="00BB3DC8" w14:paraId="6AC46AF1" w14:textId="77777777" w:rsidTr="005D3AC0">
        <w:tc>
          <w:tcPr>
            <w:tcW w:w="6204" w:type="dxa"/>
            <w:vAlign w:val="bottom"/>
          </w:tcPr>
          <w:p w14:paraId="63F9192F"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BB3DC8">
              <w:rPr>
                <w:rFonts w:ascii="Arial" w:hAnsi="Arial" w:cs="Arial"/>
                <w:b/>
                <w:sz w:val="18"/>
                <w:szCs w:val="18"/>
              </w:rPr>
              <w:t>Items that may be reclassified to profit or loss</w:t>
            </w:r>
          </w:p>
        </w:tc>
        <w:tc>
          <w:tcPr>
            <w:tcW w:w="920" w:type="dxa"/>
            <w:vAlign w:val="bottom"/>
          </w:tcPr>
          <w:p w14:paraId="66480AC5" w14:textId="77777777" w:rsidR="002D25D2" w:rsidRPr="00BB3DC8" w:rsidRDefault="002D25D2" w:rsidP="002D25D2">
            <w:pPr>
              <w:tabs>
                <w:tab w:val="decimal" w:pos="4723"/>
                <w:tab w:val="decimal" w:pos="6019"/>
                <w:tab w:val="decimal" w:pos="7315"/>
                <w:tab w:val="decimal" w:pos="8611"/>
                <w:tab w:val="decimal" w:pos="9878"/>
              </w:tabs>
              <w:suppressAutoHyphens/>
              <w:spacing w:before="60"/>
              <w:jc w:val="center"/>
              <w:rPr>
                <w:rFonts w:ascii="Arial" w:hAnsi="Arial" w:cs="Arial"/>
                <w:sz w:val="18"/>
                <w:szCs w:val="18"/>
              </w:rPr>
            </w:pPr>
          </w:p>
        </w:tc>
        <w:tc>
          <w:tcPr>
            <w:tcW w:w="1495" w:type="dxa"/>
            <w:vAlign w:val="bottom"/>
          </w:tcPr>
          <w:p w14:paraId="74D21A94"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highlight w:val="yellow"/>
              </w:rPr>
            </w:pPr>
          </w:p>
        </w:tc>
        <w:tc>
          <w:tcPr>
            <w:tcW w:w="1412" w:type="dxa"/>
            <w:vAlign w:val="bottom"/>
          </w:tcPr>
          <w:p w14:paraId="3B529900"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p>
        </w:tc>
      </w:tr>
      <w:tr w:rsidR="002D25D2" w:rsidRPr="00BB3DC8" w14:paraId="2EF8DEEA" w14:textId="77777777" w:rsidTr="005D3AC0">
        <w:tc>
          <w:tcPr>
            <w:tcW w:w="6204" w:type="dxa"/>
            <w:tcBorders>
              <w:bottom w:val="single" w:sz="4" w:space="0" w:color="auto"/>
            </w:tcBorders>
            <w:vAlign w:val="bottom"/>
          </w:tcPr>
          <w:p w14:paraId="0C478681"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BB3DC8">
              <w:rPr>
                <w:rFonts w:ascii="Arial" w:hAnsi="Arial" w:cs="Arial"/>
                <w:sz w:val="18"/>
                <w:szCs w:val="18"/>
              </w:rPr>
              <w:t>Currency translation differences</w:t>
            </w:r>
          </w:p>
        </w:tc>
        <w:tc>
          <w:tcPr>
            <w:tcW w:w="920" w:type="dxa"/>
            <w:tcBorders>
              <w:bottom w:val="single" w:sz="4" w:space="0" w:color="auto"/>
            </w:tcBorders>
            <w:vAlign w:val="bottom"/>
          </w:tcPr>
          <w:p w14:paraId="2EFFCC5F" w14:textId="77777777" w:rsidR="002D25D2" w:rsidRPr="00BB3DC8" w:rsidRDefault="002D25D2" w:rsidP="002D25D2">
            <w:pPr>
              <w:tabs>
                <w:tab w:val="decimal" w:pos="4723"/>
                <w:tab w:val="decimal" w:pos="6019"/>
                <w:tab w:val="decimal" w:pos="7315"/>
                <w:tab w:val="decimal" w:pos="8611"/>
                <w:tab w:val="decimal" w:pos="9878"/>
              </w:tabs>
              <w:suppressAutoHyphens/>
              <w:spacing w:before="60"/>
              <w:jc w:val="center"/>
              <w:rPr>
                <w:rFonts w:ascii="Arial" w:hAnsi="Arial" w:cs="Arial"/>
                <w:sz w:val="18"/>
                <w:szCs w:val="18"/>
              </w:rPr>
            </w:pPr>
          </w:p>
        </w:tc>
        <w:tc>
          <w:tcPr>
            <w:tcW w:w="1495" w:type="dxa"/>
            <w:tcBorders>
              <w:bottom w:val="single" w:sz="4" w:space="0" w:color="auto"/>
            </w:tcBorders>
            <w:vAlign w:val="bottom"/>
          </w:tcPr>
          <w:p w14:paraId="26501342" w14:textId="02F3972B" w:rsidR="002D25D2" w:rsidRPr="00E00D03" w:rsidRDefault="00F35510"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sidRPr="0051151D">
              <w:rPr>
                <w:rFonts w:ascii="Arial" w:hAnsi="Arial" w:cs="Arial"/>
                <w:color w:val="000000" w:themeColor="text1"/>
                <w:sz w:val="18"/>
                <w:szCs w:val="18"/>
              </w:rPr>
              <w:t>521,317</w:t>
            </w:r>
          </w:p>
        </w:tc>
        <w:tc>
          <w:tcPr>
            <w:tcW w:w="1412" w:type="dxa"/>
            <w:tcBorders>
              <w:bottom w:val="single" w:sz="4" w:space="0" w:color="auto"/>
            </w:tcBorders>
            <w:vAlign w:val="bottom"/>
          </w:tcPr>
          <w:p w14:paraId="68FF8E09" w14:textId="0B6FABFA"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r>
              <w:rPr>
                <w:rFonts w:ascii="Arial" w:hAnsi="Arial" w:cs="Arial"/>
                <w:color w:val="000000" w:themeColor="text1"/>
                <w:sz w:val="18"/>
                <w:szCs w:val="18"/>
              </w:rPr>
              <w:t>(1,039,220)</w:t>
            </w:r>
          </w:p>
        </w:tc>
      </w:tr>
      <w:tr w:rsidR="002D25D2" w:rsidRPr="00BB3DC8" w14:paraId="26A4C1DA" w14:textId="77777777" w:rsidTr="005D3AC0">
        <w:tc>
          <w:tcPr>
            <w:tcW w:w="6204" w:type="dxa"/>
            <w:tcBorders>
              <w:top w:val="single" w:sz="4" w:space="0" w:color="auto"/>
              <w:bottom w:val="single" w:sz="4" w:space="0" w:color="auto"/>
            </w:tcBorders>
            <w:vAlign w:val="bottom"/>
          </w:tcPr>
          <w:p w14:paraId="1C8C8336" w14:textId="36DF66B8"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BB3DC8">
              <w:rPr>
                <w:rFonts w:ascii="Arial" w:hAnsi="Arial" w:cs="Arial"/>
                <w:b/>
                <w:sz w:val="18"/>
                <w:szCs w:val="18"/>
              </w:rPr>
              <w:t xml:space="preserve">Total comprehensive </w:t>
            </w:r>
            <w:r>
              <w:rPr>
                <w:rFonts w:ascii="Arial" w:hAnsi="Arial" w:cs="Arial"/>
                <w:b/>
                <w:sz w:val="18"/>
                <w:szCs w:val="18"/>
              </w:rPr>
              <w:t>loss</w:t>
            </w:r>
            <w:r w:rsidRPr="00BB3DC8">
              <w:rPr>
                <w:rFonts w:ascii="Arial" w:hAnsi="Arial" w:cs="Arial"/>
                <w:b/>
                <w:sz w:val="18"/>
                <w:szCs w:val="18"/>
              </w:rPr>
              <w:t xml:space="preserve"> for the period</w:t>
            </w:r>
          </w:p>
        </w:tc>
        <w:tc>
          <w:tcPr>
            <w:tcW w:w="920" w:type="dxa"/>
            <w:tcBorders>
              <w:top w:val="single" w:sz="4" w:space="0" w:color="auto"/>
              <w:bottom w:val="single" w:sz="4" w:space="0" w:color="auto"/>
            </w:tcBorders>
            <w:vAlign w:val="bottom"/>
          </w:tcPr>
          <w:p w14:paraId="55927E0A" w14:textId="77777777" w:rsidR="002D25D2" w:rsidRPr="00BB3DC8" w:rsidRDefault="002D25D2" w:rsidP="002D25D2">
            <w:pPr>
              <w:tabs>
                <w:tab w:val="decimal" w:pos="4723"/>
                <w:tab w:val="decimal" w:pos="6019"/>
                <w:tab w:val="decimal" w:pos="7315"/>
                <w:tab w:val="decimal" w:pos="8611"/>
                <w:tab w:val="decimal" w:pos="9878"/>
              </w:tabs>
              <w:suppressAutoHyphens/>
              <w:spacing w:before="60"/>
              <w:jc w:val="center"/>
              <w:rPr>
                <w:rFonts w:ascii="Arial" w:hAnsi="Arial" w:cs="Arial"/>
                <w:sz w:val="18"/>
                <w:szCs w:val="18"/>
              </w:rPr>
            </w:pPr>
          </w:p>
        </w:tc>
        <w:tc>
          <w:tcPr>
            <w:tcW w:w="1495" w:type="dxa"/>
            <w:tcBorders>
              <w:top w:val="single" w:sz="4" w:space="0" w:color="auto"/>
              <w:bottom w:val="single" w:sz="4" w:space="0" w:color="auto"/>
            </w:tcBorders>
            <w:vAlign w:val="center"/>
          </w:tcPr>
          <w:p w14:paraId="6FFA3426" w14:textId="17AD1093" w:rsidR="002D25D2" w:rsidRPr="0051151D" w:rsidRDefault="00F35510"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highlight w:val="yellow"/>
              </w:rPr>
            </w:pPr>
            <w:r w:rsidRPr="0051151D">
              <w:rPr>
                <w:rFonts w:ascii="Arial" w:hAnsi="Arial" w:cs="Arial"/>
                <w:b/>
                <w:color w:val="000000" w:themeColor="text1"/>
                <w:sz w:val="18"/>
                <w:szCs w:val="18"/>
              </w:rPr>
              <w:t>(1,067,362)</w:t>
            </w:r>
          </w:p>
        </w:tc>
        <w:tc>
          <w:tcPr>
            <w:tcW w:w="1412" w:type="dxa"/>
            <w:tcBorders>
              <w:top w:val="single" w:sz="4" w:space="0" w:color="auto"/>
              <w:bottom w:val="single" w:sz="4" w:space="0" w:color="auto"/>
            </w:tcBorders>
            <w:vAlign w:val="center"/>
          </w:tcPr>
          <w:p w14:paraId="6CAF92EF" w14:textId="4D596098"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r>
              <w:rPr>
                <w:rFonts w:ascii="Arial" w:hAnsi="Arial" w:cs="Arial"/>
                <w:b/>
                <w:color w:val="000000" w:themeColor="text1"/>
                <w:sz w:val="18"/>
                <w:szCs w:val="18"/>
              </w:rPr>
              <w:t>(2,408,157)</w:t>
            </w:r>
          </w:p>
        </w:tc>
      </w:tr>
      <w:tr w:rsidR="002D25D2" w:rsidRPr="00BB3DC8" w14:paraId="5AFEE54A" w14:textId="77777777" w:rsidTr="005D3AC0">
        <w:tc>
          <w:tcPr>
            <w:tcW w:w="6204" w:type="dxa"/>
            <w:tcBorders>
              <w:top w:val="single" w:sz="4" w:space="0" w:color="auto"/>
              <w:bottom w:val="single" w:sz="4" w:space="0" w:color="auto"/>
            </w:tcBorders>
            <w:vAlign w:val="bottom"/>
          </w:tcPr>
          <w:p w14:paraId="19AD98BF"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Pr>
                <w:rFonts w:ascii="Arial" w:hAnsi="Arial" w:cs="Arial"/>
                <w:b/>
                <w:sz w:val="18"/>
                <w:szCs w:val="18"/>
              </w:rPr>
              <w:t>Earnings</w:t>
            </w:r>
            <w:r w:rsidRPr="00BB3DC8">
              <w:rPr>
                <w:rFonts w:ascii="Arial" w:hAnsi="Arial" w:cs="Arial"/>
                <w:b/>
                <w:sz w:val="18"/>
                <w:szCs w:val="18"/>
              </w:rPr>
              <w:t xml:space="preserve"> per share from continuing operations attributable to the equity owners of the parent</w:t>
            </w:r>
          </w:p>
        </w:tc>
        <w:tc>
          <w:tcPr>
            <w:tcW w:w="920" w:type="dxa"/>
            <w:tcBorders>
              <w:top w:val="single" w:sz="4" w:space="0" w:color="auto"/>
              <w:bottom w:val="single" w:sz="4" w:space="0" w:color="auto"/>
            </w:tcBorders>
            <w:vAlign w:val="bottom"/>
          </w:tcPr>
          <w:p w14:paraId="33C994FB" w14:textId="77777777" w:rsidR="002D25D2" w:rsidRPr="00BB3DC8" w:rsidRDefault="002D25D2" w:rsidP="002D25D2">
            <w:pPr>
              <w:tabs>
                <w:tab w:val="decimal" w:pos="4723"/>
                <w:tab w:val="decimal" w:pos="6019"/>
                <w:tab w:val="decimal" w:pos="7315"/>
                <w:tab w:val="decimal" w:pos="8611"/>
                <w:tab w:val="decimal" w:pos="9878"/>
              </w:tabs>
              <w:suppressAutoHyphens/>
              <w:spacing w:before="60"/>
              <w:jc w:val="center"/>
              <w:rPr>
                <w:rFonts w:ascii="Arial" w:hAnsi="Arial" w:cs="Arial"/>
                <w:sz w:val="18"/>
                <w:szCs w:val="18"/>
              </w:rPr>
            </w:pPr>
          </w:p>
        </w:tc>
        <w:tc>
          <w:tcPr>
            <w:tcW w:w="1495" w:type="dxa"/>
            <w:tcBorders>
              <w:top w:val="single" w:sz="4" w:space="0" w:color="auto"/>
              <w:bottom w:val="single" w:sz="4" w:space="0" w:color="auto"/>
            </w:tcBorders>
            <w:vAlign w:val="bottom"/>
          </w:tcPr>
          <w:p w14:paraId="5765207F" w14:textId="77777777" w:rsidR="002D25D2" w:rsidRPr="00477A62"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
                <w:color w:val="000000" w:themeColor="text1"/>
                <w:sz w:val="18"/>
                <w:szCs w:val="18"/>
              </w:rPr>
            </w:pPr>
          </w:p>
        </w:tc>
        <w:tc>
          <w:tcPr>
            <w:tcW w:w="1412" w:type="dxa"/>
            <w:tcBorders>
              <w:top w:val="single" w:sz="4" w:space="0" w:color="auto"/>
              <w:bottom w:val="single" w:sz="4" w:space="0" w:color="auto"/>
            </w:tcBorders>
            <w:vAlign w:val="bottom"/>
          </w:tcPr>
          <w:p w14:paraId="5D9C94A2" w14:textId="77777777"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color w:val="000000" w:themeColor="text1"/>
                <w:sz w:val="18"/>
                <w:szCs w:val="18"/>
              </w:rPr>
            </w:pPr>
          </w:p>
        </w:tc>
      </w:tr>
      <w:tr w:rsidR="002D25D2" w:rsidRPr="00BB3DC8" w14:paraId="5E1109E1" w14:textId="77777777" w:rsidTr="005D3AC0">
        <w:tc>
          <w:tcPr>
            <w:tcW w:w="6204" w:type="dxa"/>
            <w:tcBorders>
              <w:top w:val="single" w:sz="4" w:space="0" w:color="auto"/>
              <w:bottom w:val="single" w:sz="4" w:space="0" w:color="auto"/>
            </w:tcBorders>
            <w:vAlign w:val="bottom"/>
          </w:tcPr>
          <w:p w14:paraId="7FAF2AEF" w14:textId="77777777" w:rsidR="002D25D2" w:rsidRPr="00BB3DC8" w:rsidRDefault="002D25D2" w:rsidP="002D25D2">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BB3DC8">
              <w:rPr>
                <w:rFonts w:ascii="Arial" w:hAnsi="Arial" w:cs="Arial"/>
                <w:sz w:val="18"/>
                <w:szCs w:val="18"/>
              </w:rPr>
              <w:t>Basic and diluted (pence per share)</w:t>
            </w:r>
          </w:p>
        </w:tc>
        <w:tc>
          <w:tcPr>
            <w:tcW w:w="920" w:type="dxa"/>
            <w:tcBorders>
              <w:top w:val="single" w:sz="4" w:space="0" w:color="auto"/>
              <w:bottom w:val="single" w:sz="4" w:space="0" w:color="auto"/>
            </w:tcBorders>
            <w:vAlign w:val="bottom"/>
          </w:tcPr>
          <w:p w14:paraId="7E0F17F8" w14:textId="65619C8F" w:rsidR="002D25D2" w:rsidRPr="00BB3DC8" w:rsidRDefault="00490FF5" w:rsidP="002D25D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r>
              <w:rPr>
                <w:rFonts w:ascii="Arial" w:hAnsi="Arial" w:cs="Arial"/>
                <w:sz w:val="18"/>
                <w:szCs w:val="18"/>
              </w:rPr>
              <w:t>9</w:t>
            </w:r>
          </w:p>
        </w:tc>
        <w:tc>
          <w:tcPr>
            <w:tcW w:w="1495" w:type="dxa"/>
            <w:tcBorders>
              <w:top w:val="single" w:sz="4" w:space="0" w:color="auto"/>
              <w:bottom w:val="single" w:sz="4" w:space="0" w:color="auto"/>
            </w:tcBorders>
            <w:vAlign w:val="center"/>
          </w:tcPr>
          <w:p w14:paraId="24177CC2" w14:textId="6CC00CE3" w:rsidR="002D25D2" w:rsidRPr="00477A62" w:rsidRDefault="00295DDB" w:rsidP="002D25D2">
            <w:pPr>
              <w:tabs>
                <w:tab w:val="decimal" w:pos="4723"/>
                <w:tab w:val="decimal" w:pos="6019"/>
                <w:tab w:val="decimal" w:pos="7315"/>
                <w:tab w:val="decimal" w:pos="8611"/>
                <w:tab w:val="decimal" w:pos="9878"/>
              </w:tabs>
              <w:suppressAutoHyphens/>
              <w:spacing w:before="60" w:after="60"/>
              <w:jc w:val="right"/>
              <w:rPr>
                <w:rFonts w:ascii="Arial" w:hAnsi="Arial" w:cs="Arial"/>
                <w:bCs/>
                <w:color w:val="000000" w:themeColor="text1"/>
                <w:sz w:val="18"/>
                <w:szCs w:val="18"/>
              </w:rPr>
            </w:pPr>
            <w:r>
              <w:rPr>
                <w:rFonts w:ascii="Arial" w:hAnsi="Arial" w:cs="Arial"/>
                <w:bCs/>
                <w:color w:val="000000" w:themeColor="text1"/>
                <w:sz w:val="18"/>
                <w:szCs w:val="18"/>
              </w:rPr>
              <w:t>(</w:t>
            </w:r>
            <w:proofErr w:type="gramStart"/>
            <w:r>
              <w:rPr>
                <w:rFonts w:ascii="Arial" w:hAnsi="Arial" w:cs="Arial"/>
                <w:bCs/>
                <w:color w:val="000000" w:themeColor="text1"/>
                <w:sz w:val="18"/>
                <w:szCs w:val="18"/>
              </w:rPr>
              <w:t>0.16)p</w:t>
            </w:r>
            <w:proofErr w:type="gramEnd"/>
          </w:p>
        </w:tc>
        <w:tc>
          <w:tcPr>
            <w:tcW w:w="1412" w:type="dxa"/>
            <w:tcBorders>
              <w:top w:val="single" w:sz="4" w:space="0" w:color="auto"/>
              <w:bottom w:val="single" w:sz="4" w:space="0" w:color="auto"/>
            </w:tcBorders>
            <w:vAlign w:val="center"/>
          </w:tcPr>
          <w:p w14:paraId="3419D51A" w14:textId="4025AEFD" w:rsidR="002D25D2" w:rsidRPr="0021284C" w:rsidRDefault="002D25D2" w:rsidP="002D25D2">
            <w:pPr>
              <w:tabs>
                <w:tab w:val="decimal" w:pos="4723"/>
                <w:tab w:val="decimal" w:pos="6019"/>
                <w:tab w:val="decimal" w:pos="7315"/>
                <w:tab w:val="decimal" w:pos="8611"/>
                <w:tab w:val="decimal" w:pos="9878"/>
              </w:tabs>
              <w:suppressAutoHyphens/>
              <w:spacing w:before="60" w:after="60"/>
              <w:jc w:val="right"/>
              <w:rPr>
                <w:rFonts w:ascii="Arial" w:hAnsi="Arial" w:cs="Arial"/>
                <w:bCs/>
                <w:color w:val="000000" w:themeColor="text1"/>
                <w:sz w:val="18"/>
                <w:szCs w:val="18"/>
              </w:rPr>
            </w:pPr>
            <w:r>
              <w:rPr>
                <w:rFonts w:ascii="Arial" w:hAnsi="Arial" w:cs="Arial"/>
                <w:bCs/>
                <w:color w:val="000000" w:themeColor="text1"/>
                <w:sz w:val="18"/>
                <w:szCs w:val="18"/>
              </w:rPr>
              <w:t>(</w:t>
            </w:r>
            <w:proofErr w:type="gramStart"/>
            <w:r>
              <w:rPr>
                <w:rFonts w:ascii="Arial" w:hAnsi="Arial" w:cs="Arial"/>
                <w:bCs/>
                <w:color w:val="000000" w:themeColor="text1"/>
                <w:sz w:val="18"/>
                <w:szCs w:val="18"/>
              </w:rPr>
              <w:t>0.14)p</w:t>
            </w:r>
            <w:proofErr w:type="gramEnd"/>
          </w:p>
        </w:tc>
      </w:tr>
    </w:tbl>
    <w:p w14:paraId="4EB4E8DC" w14:textId="77777777" w:rsidR="00022BEA" w:rsidRPr="00BB3DC8" w:rsidRDefault="00022BEA" w:rsidP="002742A9">
      <w:pPr>
        <w:tabs>
          <w:tab w:val="decimal" w:pos="4723"/>
          <w:tab w:val="decimal" w:pos="6019"/>
          <w:tab w:val="decimal" w:pos="7315"/>
          <w:tab w:val="decimal" w:pos="8611"/>
          <w:tab w:val="decimal" w:pos="9835"/>
        </w:tabs>
        <w:suppressAutoHyphens/>
        <w:spacing w:line="210" w:lineRule="exact"/>
        <w:jc w:val="both"/>
        <w:rPr>
          <w:rFonts w:ascii="Arial" w:hAnsi="Arial" w:cs="Arial"/>
          <w:b/>
          <w:sz w:val="18"/>
          <w:szCs w:val="18"/>
        </w:rPr>
      </w:pPr>
    </w:p>
    <w:p w14:paraId="0D561DE3" w14:textId="77777777" w:rsidR="00022BEA" w:rsidRPr="00BB3DC8" w:rsidRDefault="00022BEA" w:rsidP="002742A9">
      <w:pPr>
        <w:tabs>
          <w:tab w:val="right" w:pos="9878"/>
        </w:tabs>
        <w:suppressAutoHyphens/>
        <w:jc w:val="both"/>
        <w:rPr>
          <w:rFonts w:ascii="Arial" w:hAnsi="Arial" w:cs="Arial"/>
          <w:b/>
          <w:sz w:val="22"/>
          <w:szCs w:val="22"/>
        </w:rPr>
      </w:pPr>
    </w:p>
    <w:p w14:paraId="0502B604" w14:textId="77777777" w:rsidR="00E17B00" w:rsidRDefault="00E17B00">
      <w:pPr>
        <w:rPr>
          <w:rFonts w:ascii="Arial" w:hAnsi="Arial" w:cs="Arial"/>
          <w:b/>
          <w:sz w:val="22"/>
          <w:szCs w:val="22"/>
        </w:rPr>
      </w:pPr>
      <w:r>
        <w:rPr>
          <w:rFonts w:ascii="Arial" w:hAnsi="Arial" w:cs="Arial"/>
          <w:b/>
          <w:sz w:val="22"/>
          <w:szCs w:val="22"/>
        </w:rPr>
        <w:br w:type="page"/>
      </w:r>
    </w:p>
    <w:p w14:paraId="3BC53866" w14:textId="77E41B92" w:rsidR="002742A9" w:rsidRPr="00BB3DC8" w:rsidRDefault="002742A9" w:rsidP="002742A9">
      <w:pPr>
        <w:tabs>
          <w:tab w:val="right" w:pos="9878"/>
        </w:tabs>
        <w:suppressAutoHyphens/>
        <w:jc w:val="both"/>
        <w:rPr>
          <w:rFonts w:ascii="Arial" w:hAnsi="Arial" w:cs="Arial"/>
          <w:b/>
          <w:sz w:val="22"/>
          <w:szCs w:val="22"/>
        </w:rPr>
      </w:pPr>
      <w:r w:rsidRPr="00BB3DC8">
        <w:rPr>
          <w:rFonts w:ascii="Arial" w:hAnsi="Arial" w:cs="Arial"/>
          <w:b/>
          <w:sz w:val="22"/>
          <w:szCs w:val="22"/>
        </w:rPr>
        <w:lastRenderedPageBreak/>
        <w:t>CONDENSED CONSOLIDATED BALANCE SHEET</w:t>
      </w:r>
    </w:p>
    <w:p w14:paraId="721A4F8F" w14:textId="00B6F495" w:rsidR="00D52BB7" w:rsidRPr="00BB3DC8" w:rsidRDefault="00D52BB7" w:rsidP="002742A9">
      <w:pPr>
        <w:tabs>
          <w:tab w:val="right" w:pos="9878"/>
        </w:tabs>
        <w:suppressAutoHyphens/>
        <w:jc w:val="both"/>
        <w:rPr>
          <w:rFonts w:ascii="Arial" w:hAnsi="Arial" w:cs="Arial"/>
          <w:b/>
          <w:sz w:val="22"/>
          <w:szCs w:val="22"/>
        </w:rPr>
      </w:pPr>
    </w:p>
    <w:tbl>
      <w:tblPr>
        <w:tblW w:w="9893" w:type="dxa"/>
        <w:tblLayout w:type="fixed"/>
        <w:tblLook w:val="00A0" w:firstRow="1" w:lastRow="0" w:firstColumn="1" w:lastColumn="0" w:noHBand="0" w:noVBand="0"/>
      </w:tblPr>
      <w:tblGrid>
        <w:gridCol w:w="4820"/>
        <w:gridCol w:w="628"/>
        <w:gridCol w:w="1356"/>
        <w:gridCol w:w="1548"/>
        <w:gridCol w:w="1541"/>
      </w:tblGrid>
      <w:tr w:rsidR="00B04529" w:rsidRPr="00F35510" w14:paraId="56DE4CE2" w14:textId="77777777" w:rsidTr="00CA3251">
        <w:trPr>
          <w:trHeight w:val="994"/>
        </w:trPr>
        <w:tc>
          <w:tcPr>
            <w:tcW w:w="4820" w:type="dxa"/>
            <w:tcBorders>
              <w:bottom w:val="single" w:sz="4" w:space="0" w:color="auto"/>
            </w:tcBorders>
            <w:vAlign w:val="bottom"/>
          </w:tcPr>
          <w:p w14:paraId="766B1130" w14:textId="77777777" w:rsidR="00B04529" w:rsidRPr="00BB3DC8" w:rsidRDefault="00B04529" w:rsidP="00B04529">
            <w:pPr>
              <w:tabs>
                <w:tab w:val="decimal" w:pos="4723"/>
                <w:tab w:val="decimal" w:pos="6019"/>
                <w:tab w:val="decimal" w:pos="7315"/>
                <w:tab w:val="decimal" w:pos="8611"/>
                <w:tab w:val="decimal" w:pos="9878"/>
              </w:tabs>
              <w:suppressAutoHyphens/>
              <w:rPr>
                <w:rFonts w:ascii="Arial" w:hAnsi="Arial" w:cs="Arial"/>
                <w:b/>
                <w:sz w:val="18"/>
                <w:szCs w:val="18"/>
              </w:rPr>
            </w:pPr>
          </w:p>
        </w:tc>
        <w:tc>
          <w:tcPr>
            <w:tcW w:w="628" w:type="dxa"/>
            <w:tcBorders>
              <w:bottom w:val="single" w:sz="4" w:space="0" w:color="auto"/>
            </w:tcBorders>
            <w:vAlign w:val="bottom"/>
          </w:tcPr>
          <w:p w14:paraId="047F628A" w14:textId="77777777" w:rsidR="00B04529" w:rsidRPr="00F35510" w:rsidRDefault="00B04529" w:rsidP="00B04529">
            <w:pPr>
              <w:tabs>
                <w:tab w:val="decimal" w:pos="4723"/>
                <w:tab w:val="decimal" w:pos="6019"/>
                <w:tab w:val="decimal" w:pos="7315"/>
                <w:tab w:val="decimal" w:pos="8611"/>
                <w:tab w:val="decimal" w:pos="9878"/>
              </w:tabs>
              <w:suppressAutoHyphens/>
              <w:ind w:right="-411"/>
              <w:rPr>
                <w:rFonts w:ascii="Arial" w:hAnsi="Arial" w:cs="Arial"/>
                <w:sz w:val="16"/>
                <w:szCs w:val="16"/>
              </w:rPr>
            </w:pPr>
            <w:r w:rsidRPr="00F35510">
              <w:rPr>
                <w:rFonts w:ascii="Arial" w:hAnsi="Arial" w:cs="Arial"/>
                <w:b/>
                <w:sz w:val="16"/>
                <w:szCs w:val="16"/>
              </w:rPr>
              <w:t>Notes</w:t>
            </w:r>
          </w:p>
        </w:tc>
        <w:tc>
          <w:tcPr>
            <w:tcW w:w="1356" w:type="dxa"/>
            <w:tcBorders>
              <w:bottom w:val="single" w:sz="4" w:space="0" w:color="auto"/>
            </w:tcBorders>
            <w:vAlign w:val="bottom"/>
          </w:tcPr>
          <w:p w14:paraId="25F4049A" w14:textId="05D1B559"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b/>
                <w:sz w:val="16"/>
                <w:szCs w:val="16"/>
              </w:rPr>
            </w:pPr>
            <w:r w:rsidRPr="00F35510">
              <w:rPr>
                <w:rFonts w:ascii="Arial" w:hAnsi="Arial" w:cs="Arial"/>
                <w:b/>
                <w:sz w:val="16"/>
                <w:szCs w:val="16"/>
              </w:rPr>
              <w:t>30 June 20</w:t>
            </w:r>
            <w:r w:rsidR="005D3AC0" w:rsidRPr="00F35510">
              <w:rPr>
                <w:rFonts w:ascii="Arial" w:hAnsi="Arial" w:cs="Arial"/>
                <w:b/>
                <w:sz w:val="16"/>
                <w:szCs w:val="16"/>
              </w:rPr>
              <w:t>2</w:t>
            </w:r>
            <w:r w:rsidR="00E27937" w:rsidRPr="00F35510">
              <w:rPr>
                <w:rFonts w:ascii="Arial" w:hAnsi="Arial" w:cs="Arial"/>
                <w:b/>
                <w:sz w:val="16"/>
                <w:szCs w:val="16"/>
              </w:rPr>
              <w:t>2</w:t>
            </w:r>
            <w:r w:rsidRPr="00F35510">
              <w:rPr>
                <w:rFonts w:ascii="Arial" w:hAnsi="Arial" w:cs="Arial"/>
                <w:b/>
                <w:sz w:val="16"/>
                <w:szCs w:val="16"/>
              </w:rPr>
              <w:t xml:space="preserve"> Unaudited</w:t>
            </w:r>
          </w:p>
          <w:p w14:paraId="1D6151D4"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b/>
                <w:sz w:val="16"/>
                <w:szCs w:val="16"/>
              </w:rPr>
            </w:pPr>
            <w:r w:rsidRPr="00F35510">
              <w:rPr>
                <w:rFonts w:ascii="Arial" w:hAnsi="Arial" w:cs="Arial"/>
                <w:b/>
                <w:sz w:val="16"/>
                <w:szCs w:val="16"/>
              </w:rPr>
              <w:t>£</w:t>
            </w:r>
          </w:p>
        </w:tc>
        <w:tc>
          <w:tcPr>
            <w:tcW w:w="1548" w:type="dxa"/>
            <w:tcBorders>
              <w:bottom w:val="single" w:sz="4" w:space="0" w:color="auto"/>
            </w:tcBorders>
            <w:vAlign w:val="bottom"/>
          </w:tcPr>
          <w:p w14:paraId="6297A0AB" w14:textId="77777777" w:rsidR="00E27937" w:rsidRPr="00F35510" w:rsidRDefault="00E27937" w:rsidP="00E27937">
            <w:pPr>
              <w:tabs>
                <w:tab w:val="decimal" w:pos="4723"/>
                <w:tab w:val="decimal" w:pos="6019"/>
                <w:tab w:val="decimal" w:pos="7315"/>
                <w:tab w:val="decimal" w:pos="8611"/>
                <w:tab w:val="decimal" w:pos="9878"/>
              </w:tabs>
              <w:suppressAutoHyphens/>
              <w:jc w:val="right"/>
              <w:rPr>
                <w:rFonts w:ascii="Arial" w:hAnsi="Arial" w:cs="Arial"/>
                <w:b/>
                <w:sz w:val="16"/>
                <w:szCs w:val="16"/>
              </w:rPr>
            </w:pPr>
            <w:r w:rsidRPr="00F35510">
              <w:rPr>
                <w:rFonts w:ascii="Arial" w:hAnsi="Arial" w:cs="Arial"/>
                <w:b/>
                <w:sz w:val="16"/>
                <w:szCs w:val="16"/>
              </w:rPr>
              <w:t>30 June 2021 Unaudited</w:t>
            </w:r>
          </w:p>
          <w:p w14:paraId="6DDC9DFA"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sz w:val="16"/>
                <w:szCs w:val="16"/>
              </w:rPr>
            </w:pPr>
            <w:r w:rsidRPr="00F35510">
              <w:rPr>
                <w:rFonts w:ascii="Arial" w:hAnsi="Arial" w:cs="Arial"/>
                <w:b/>
                <w:sz w:val="16"/>
                <w:szCs w:val="16"/>
              </w:rPr>
              <w:t>£</w:t>
            </w:r>
          </w:p>
        </w:tc>
        <w:tc>
          <w:tcPr>
            <w:tcW w:w="1541" w:type="dxa"/>
            <w:tcBorders>
              <w:bottom w:val="single" w:sz="4" w:space="0" w:color="auto"/>
            </w:tcBorders>
            <w:vAlign w:val="bottom"/>
          </w:tcPr>
          <w:p w14:paraId="370BD96D" w14:textId="2E70806A" w:rsidR="00E27937" w:rsidRPr="00F35510" w:rsidRDefault="00E27937" w:rsidP="00E27937">
            <w:pPr>
              <w:tabs>
                <w:tab w:val="decimal" w:pos="4723"/>
                <w:tab w:val="decimal" w:pos="6019"/>
                <w:tab w:val="decimal" w:pos="7315"/>
                <w:tab w:val="decimal" w:pos="8611"/>
                <w:tab w:val="decimal" w:pos="9878"/>
              </w:tabs>
              <w:suppressAutoHyphens/>
              <w:jc w:val="right"/>
              <w:rPr>
                <w:rFonts w:ascii="Arial" w:hAnsi="Arial" w:cs="Arial"/>
                <w:b/>
                <w:sz w:val="16"/>
                <w:szCs w:val="16"/>
              </w:rPr>
            </w:pPr>
            <w:r w:rsidRPr="00F35510">
              <w:rPr>
                <w:rFonts w:ascii="Arial" w:hAnsi="Arial" w:cs="Arial"/>
                <w:b/>
                <w:sz w:val="16"/>
                <w:szCs w:val="16"/>
              </w:rPr>
              <w:t>31 December 202</w:t>
            </w:r>
            <w:r w:rsidR="00DE1C4A" w:rsidRPr="00F35510">
              <w:rPr>
                <w:rFonts w:ascii="Arial" w:hAnsi="Arial" w:cs="Arial"/>
                <w:b/>
                <w:sz w:val="16"/>
                <w:szCs w:val="16"/>
              </w:rPr>
              <w:t>1</w:t>
            </w:r>
            <w:r w:rsidRPr="00F35510">
              <w:rPr>
                <w:rFonts w:ascii="Arial" w:hAnsi="Arial" w:cs="Arial"/>
                <w:b/>
                <w:sz w:val="16"/>
                <w:szCs w:val="16"/>
              </w:rPr>
              <w:t xml:space="preserve"> Audited</w:t>
            </w:r>
          </w:p>
          <w:p w14:paraId="3CF9D146"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b/>
                <w:sz w:val="16"/>
                <w:szCs w:val="16"/>
              </w:rPr>
            </w:pPr>
            <w:r w:rsidRPr="00F35510">
              <w:rPr>
                <w:rFonts w:ascii="Arial" w:hAnsi="Arial" w:cs="Arial"/>
                <w:b/>
                <w:sz w:val="16"/>
                <w:szCs w:val="16"/>
              </w:rPr>
              <w:t>£</w:t>
            </w:r>
          </w:p>
        </w:tc>
      </w:tr>
      <w:tr w:rsidR="00B04529" w:rsidRPr="00F35510" w14:paraId="6B717EA2" w14:textId="77777777" w:rsidTr="00CA3251">
        <w:trPr>
          <w:trHeight w:val="323"/>
        </w:trPr>
        <w:tc>
          <w:tcPr>
            <w:tcW w:w="4820" w:type="dxa"/>
            <w:tcBorders>
              <w:top w:val="single" w:sz="4" w:space="0" w:color="auto"/>
            </w:tcBorders>
            <w:vAlign w:val="bottom"/>
          </w:tcPr>
          <w:p w14:paraId="29386DDE" w14:textId="77777777" w:rsidR="00B04529" w:rsidRPr="00F35510" w:rsidRDefault="00B04529" w:rsidP="00B04529">
            <w:pPr>
              <w:tabs>
                <w:tab w:val="decimal" w:pos="4723"/>
                <w:tab w:val="decimal" w:pos="6019"/>
                <w:tab w:val="decimal" w:pos="7315"/>
                <w:tab w:val="decimal" w:pos="8611"/>
                <w:tab w:val="decimal" w:pos="9878"/>
              </w:tabs>
              <w:suppressAutoHyphens/>
              <w:rPr>
                <w:rFonts w:ascii="Arial" w:hAnsi="Arial" w:cs="Arial"/>
                <w:b/>
                <w:sz w:val="18"/>
                <w:szCs w:val="18"/>
              </w:rPr>
            </w:pPr>
            <w:r w:rsidRPr="00F35510">
              <w:rPr>
                <w:rFonts w:ascii="Arial" w:hAnsi="Arial" w:cs="Arial"/>
                <w:b/>
                <w:sz w:val="18"/>
                <w:szCs w:val="18"/>
              </w:rPr>
              <w:t>Non-</w:t>
            </w:r>
            <w:r w:rsidR="0003356F" w:rsidRPr="00F35510">
              <w:rPr>
                <w:rFonts w:ascii="Arial" w:hAnsi="Arial" w:cs="Arial"/>
                <w:b/>
                <w:sz w:val="18"/>
                <w:szCs w:val="18"/>
              </w:rPr>
              <w:t>current assets</w:t>
            </w:r>
          </w:p>
        </w:tc>
        <w:tc>
          <w:tcPr>
            <w:tcW w:w="628" w:type="dxa"/>
            <w:tcBorders>
              <w:top w:val="single" w:sz="4" w:space="0" w:color="auto"/>
            </w:tcBorders>
            <w:vAlign w:val="bottom"/>
          </w:tcPr>
          <w:p w14:paraId="74DBA979" w14:textId="77777777" w:rsidR="00B04529" w:rsidRPr="00F35510" w:rsidRDefault="00B04529" w:rsidP="00B04529">
            <w:pPr>
              <w:tabs>
                <w:tab w:val="decimal" w:pos="4723"/>
                <w:tab w:val="decimal" w:pos="6019"/>
                <w:tab w:val="decimal" w:pos="7315"/>
                <w:tab w:val="decimal" w:pos="8611"/>
                <w:tab w:val="decimal" w:pos="9878"/>
              </w:tabs>
              <w:suppressAutoHyphens/>
              <w:ind w:right="-411"/>
              <w:rPr>
                <w:rFonts w:ascii="Arial" w:hAnsi="Arial" w:cs="Arial"/>
                <w:b/>
                <w:sz w:val="18"/>
                <w:szCs w:val="18"/>
              </w:rPr>
            </w:pPr>
          </w:p>
        </w:tc>
        <w:tc>
          <w:tcPr>
            <w:tcW w:w="1356" w:type="dxa"/>
            <w:tcBorders>
              <w:top w:val="single" w:sz="4" w:space="0" w:color="auto"/>
            </w:tcBorders>
            <w:vAlign w:val="bottom"/>
          </w:tcPr>
          <w:p w14:paraId="2A018045"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tcBorders>
            <w:vAlign w:val="bottom"/>
          </w:tcPr>
          <w:p w14:paraId="16A28D8B"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1" w:type="dxa"/>
            <w:tcBorders>
              <w:top w:val="single" w:sz="4" w:space="0" w:color="auto"/>
            </w:tcBorders>
            <w:vAlign w:val="bottom"/>
          </w:tcPr>
          <w:p w14:paraId="751CC2FE" w14:textId="77777777" w:rsidR="00B04529" w:rsidRPr="00F35510" w:rsidRDefault="00B04529" w:rsidP="00CA3251">
            <w:pPr>
              <w:tabs>
                <w:tab w:val="decimal" w:pos="4723"/>
                <w:tab w:val="decimal" w:pos="6019"/>
                <w:tab w:val="decimal" w:pos="7315"/>
                <w:tab w:val="decimal" w:pos="8611"/>
                <w:tab w:val="decimal" w:pos="9878"/>
              </w:tabs>
              <w:suppressAutoHyphens/>
              <w:jc w:val="right"/>
              <w:rPr>
                <w:rFonts w:ascii="Arial" w:hAnsi="Arial" w:cs="Arial"/>
                <w:sz w:val="18"/>
                <w:szCs w:val="18"/>
              </w:rPr>
            </w:pPr>
          </w:p>
        </w:tc>
      </w:tr>
      <w:tr w:rsidR="00305444" w:rsidRPr="00F35510" w14:paraId="6F53803B" w14:textId="77777777" w:rsidTr="00CF1DC5">
        <w:trPr>
          <w:trHeight w:val="274"/>
        </w:trPr>
        <w:tc>
          <w:tcPr>
            <w:tcW w:w="4820" w:type="dxa"/>
            <w:vAlign w:val="bottom"/>
          </w:tcPr>
          <w:p w14:paraId="7C14107F" w14:textId="77777777" w:rsidR="00305444" w:rsidRPr="00F35510" w:rsidRDefault="00305444" w:rsidP="00305444">
            <w:pPr>
              <w:tabs>
                <w:tab w:val="decimal" w:pos="4723"/>
                <w:tab w:val="decimal" w:pos="6019"/>
                <w:tab w:val="decimal" w:pos="7315"/>
                <w:tab w:val="decimal" w:pos="8611"/>
                <w:tab w:val="decimal" w:pos="9878"/>
              </w:tabs>
              <w:suppressAutoHyphens/>
              <w:spacing w:beforeLines="60" w:before="144"/>
              <w:rPr>
                <w:rFonts w:ascii="Arial" w:hAnsi="Arial" w:cs="Arial"/>
                <w:sz w:val="18"/>
                <w:szCs w:val="18"/>
              </w:rPr>
            </w:pPr>
            <w:r w:rsidRPr="00F35510">
              <w:rPr>
                <w:rFonts w:ascii="Arial" w:hAnsi="Arial" w:cs="Arial"/>
                <w:sz w:val="18"/>
                <w:szCs w:val="18"/>
              </w:rPr>
              <w:t xml:space="preserve">Property, </w:t>
            </w:r>
            <w:proofErr w:type="gramStart"/>
            <w:r w:rsidRPr="00F35510">
              <w:rPr>
                <w:rFonts w:ascii="Arial" w:hAnsi="Arial" w:cs="Arial"/>
                <w:sz w:val="18"/>
                <w:szCs w:val="18"/>
              </w:rPr>
              <w:t>plant</w:t>
            </w:r>
            <w:proofErr w:type="gramEnd"/>
            <w:r w:rsidRPr="00F35510">
              <w:rPr>
                <w:rFonts w:ascii="Arial" w:hAnsi="Arial" w:cs="Arial"/>
                <w:sz w:val="18"/>
                <w:szCs w:val="18"/>
              </w:rPr>
              <w:t xml:space="preserve"> and equipment</w:t>
            </w:r>
          </w:p>
        </w:tc>
        <w:tc>
          <w:tcPr>
            <w:tcW w:w="628" w:type="dxa"/>
            <w:vAlign w:val="bottom"/>
          </w:tcPr>
          <w:p w14:paraId="28C9DDE3" w14:textId="77777777" w:rsidR="00305444" w:rsidRPr="00F35510" w:rsidRDefault="00305444" w:rsidP="00305444">
            <w:pPr>
              <w:tabs>
                <w:tab w:val="decimal" w:pos="4723"/>
                <w:tab w:val="decimal" w:pos="6019"/>
                <w:tab w:val="decimal" w:pos="7315"/>
                <w:tab w:val="decimal" w:pos="8611"/>
                <w:tab w:val="decimal" w:pos="9878"/>
              </w:tabs>
              <w:suppressAutoHyphens/>
              <w:spacing w:beforeLines="60" w:before="144"/>
              <w:ind w:right="-411"/>
              <w:rPr>
                <w:rFonts w:ascii="Arial" w:hAnsi="Arial" w:cs="Arial"/>
                <w:sz w:val="18"/>
                <w:szCs w:val="18"/>
              </w:rPr>
            </w:pPr>
            <w:r w:rsidRPr="00F35510">
              <w:rPr>
                <w:rFonts w:ascii="Arial" w:hAnsi="Arial" w:cs="Arial"/>
                <w:sz w:val="18"/>
                <w:szCs w:val="18"/>
              </w:rPr>
              <w:t>5</w:t>
            </w:r>
          </w:p>
        </w:tc>
        <w:tc>
          <w:tcPr>
            <w:tcW w:w="1356" w:type="dxa"/>
            <w:vAlign w:val="bottom"/>
          </w:tcPr>
          <w:p w14:paraId="635209C8" w14:textId="30B37432" w:rsidR="00305444" w:rsidRPr="00F35510" w:rsidRDefault="00305444" w:rsidP="00305444">
            <w:pPr>
              <w:tabs>
                <w:tab w:val="decimal" w:pos="4723"/>
                <w:tab w:val="decimal" w:pos="6019"/>
                <w:tab w:val="decimal" w:pos="7315"/>
                <w:tab w:val="decimal" w:pos="8611"/>
                <w:tab w:val="decimal" w:pos="9878"/>
              </w:tabs>
              <w:suppressAutoHyphens/>
              <w:spacing w:beforeLines="60" w:before="144"/>
              <w:jc w:val="right"/>
              <w:rPr>
                <w:rFonts w:ascii="Arial" w:hAnsi="Arial" w:cs="Arial"/>
                <w:sz w:val="18"/>
                <w:szCs w:val="18"/>
              </w:rPr>
            </w:pPr>
            <w:r w:rsidRPr="00F35510">
              <w:rPr>
                <w:rFonts w:ascii="Arial" w:hAnsi="Arial" w:cs="Arial"/>
                <w:sz w:val="18"/>
                <w:szCs w:val="18"/>
              </w:rPr>
              <w:t>1,874,805</w:t>
            </w:r>
          </w:p>
        </w:tc>
        <w:tc>
          <w:tcPr>
            <w:tcW w:w="1548" w:type="dxa"/>
            <w:vAlign w:val="bottom"/>
          </w:tcPr>
          <w:p w14:paraId="5D4E1FF6" w14:textId="6F7D666C" w:rsidR="00305444" w:rsidRPr="00F35510" w:rsidRDefault="00305444" w:rsidP="00305444">
            <w:pPr>
              <w:tabs>
                <w:tab w:val="decimal" w:pos="4723"/>
                <w:tab w:val="decimal" w:pos="6019"/>
                <w:tab w:val="decimal" w:pos="7315"/>
                <w:tab w:val="decimal" w:pos="8611"/>
                <w:tab w:val="decimal" w:pos="9878"/>
              </w:tabs>
              <w:suppressAutoHyphens/>
              <w:spacing w:beforeLines="60" w:before="144"/>
              <w:jc w:val="right"/>
              <w:rPr>
                <w:rFonts w:ascii="Arial" w:hAnsi="Arial" w:cs="Arial"/>
                <w:sz w:val="18"/>
                <w:szCs w:val="18"/>
              </w:rPr>
            </w:pPr>
            <w:r w:rsidRPr="00F35510">
              <w:rPr>
                <w:rFonts w:ascii="Arial" w:hAnsi="Arial" w:cs="Arial"/>
                <w:sz w:val="18"/>
                <w:szCs w:val="18"/>
              </w:rPr>
              <w:t>2,036,740</w:t>
            </w:r>
          </w:p>
        </w:tc>
        <w:tc>
          <w:tcPr>
            <w:tcW w:w="1541" w:type="dxa"/>
            <w:vAlign w:val="bottom"/>
          </w:tcPr>
          <w:p w14:paraId="192D0633" w14:textId="2CFB38AD" w:rsidR="00305444" w:rsidRPr="00F35510" w:rsidRDefault="00305444" w:rsidP="00305444">
            <w:pPr>
              <w:tabs>
                <w:tab w:val="decimal" w:pos="4723"/>
                <w:tab w:val="decimal" w:pos="6019"/>
                <w:tab w:val="decimal" w:pos="7315"/>
                <w:tab w:val="decimal" w:pos="8611"/>
                <w:tab w:val="decimal" w:pos="9878"/>
              </w:tabs>
              <w:suppressAutoHyphens/>
              <w:spacing w:beforeLines="60" w:before="144"/>
              <w:jc w:val="right"/>
              <w:rPr>
                <w:rFonts w:ascii="Arial" w:hAnsi="Arial" w:cs="Arial"/>
                <w:sz w:val="18"/>
                <w:szCs w:val="18"/>
              </w:rPr>
            </w:pPr>
            <w:r w:rsidRPr="00F35510">
              <w:rPr>
                <w:rFonts w:ascii="Arial" w:hAnsi="Arial" w:cs="Arial"/>
                <w:sz w:val="18"/>
                <w:szCs w:val="18"/>
              </w:rPr>
              <w:t>1,802,379</w:t>
            </w:r>
          </w:p>
        </w:tc>
      </w:tr>
      <w:tr w:rsidR="00305444" w:rsidRPr="00F35510" w14:paraId="57104A05" w14:textId="77777777" w:rsidTr="00CF1DC5">
        <w:trPr>
          <w:trHeight w:val="118"/>
        </w:trPr>
        <w:tc>
          <w:tcPr>
            <w:tcW w:w="4820" w:type="dxa"/>
            <w:vAlign w:val="bottom"/>
          </w:tcPr>
          <w:p w14:paraId="716B4FFE"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Intangible assets</w:t>
            </w:r>
          </w:p>
        </w:tc>
        <w:tc>
          <w:tcPr>
            <w:tcW w:w="628" w:type="dxa"/>
            <w:vAlign w:val="bottom"/>
          </w:tcPr>
          <w:p w14:paraId="3CE8A727"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r w:rsidRPr="00F35510">
              <w:rPr>
                <w:rFonts w:ascii="Arial" w:hAnsi="Arial" w:cs="Arial"/>
                <w:sz w:val="18"/>
                <w:szCs w:val="18"/>
              </w:rPr>
              <w:t>6</w:t>
            </w:r>
          </w:p>
        </w:tc>
        <w:tc>
          <w:tcPr>
            <w:tcW w:w="1356" w:type="dxa"/>
            <w:vAlign w:val="bottom"/>
          </w:tcPr>
          <w:p w14:paraId="446161F4" w14:textId="3CBA1A57"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28,471,523</w:t>
            </w:r>
          </w:p>
        </w:tc>
        <w:tc>
          <w:tcPr>
            <w:tcW w:w="1548" w:type="dxa"/>
            <w:vAlign w:val="bottom"/>
          </w:tcPr>
          <w:p w14:paraId="66F79EDC" w14:textId="22E57C2D"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26,595,200</w:t>
            </w:r>
          </w:p>
        </w:tc>
        <w:tc>
          <w:tcPr>
            <w:tcW w:w="1541" w:type="dxa"/>
            <w:vAlign w:val="bottom"/>
          </w:tcPr>
          <w:p w14:paraId="44965A3A" w14:textId="4A915F1C" w:rsidR="00305444" w:rsidRPr="00F35510" w:rsidRDefault="00305444" w:rsidP="00CF1DC5">
            <w:pPr>
              <w:tabs>
                <w:tab w:val="decimal" w:pos="4723"/>
                <w:tab w:val="decimal" w:pos="6019"/>
                <w:tab w:val="decimal" w:pos="7315"/>
                <w:tab w:val="decimal" w:pos="8611"/>
                <w:tab w:val="decimal" w:pos="9878"/>
              </w:tabs>
              <w:suppressAutoHyphens/>
              <w:spacing w:beforeLines="60" w:before="144"/>
              <w:jc w:val="right"/>
              <w:rPr>
                <w:rFonts w:ascii="Arial" w:hAnsi="Arial" w:cs="Arial"/>
                <w:sz w:val="18"/>
                <w:szCs w:val="18"/>
              </w:rPr>
            </w:pPr>
            <w:r w:rsidRPr="00F35510">
              <w:rPr>
                <w:rFonts w:ascii="Arial" w:hAnsi="Arial" w:cs="Arial"/>
                <w:sz w:val="18"/>
                <w:szCs w:val="18"/>
              </w:rPr>
              <w:t>27,922,589</w:t>
            </w:r>
          </w:p>
        </w:tc>
      </w:tr>
      <w:tr w:rsidR="00305444" w:rsidRPr="00F35510" w14:paraId="1DCAEC33" w14:textId="77777777" w:rsidTr="00CF1DC5">
        <w:trPr>
          <w:trHeight w:val="334"/>
        </w:trPr>
        <w:tc>
          <w:tcPr>
            <w:tcW w:w="4820" w:type="dxa"/>
            <w:tcBorders>
              <w:bottom w:val="single" w:sz="4" w:space="0" w:color="auto"/>
            </w:tcBorders>
            <w:vAlign w:val="bottom"/>
          </w:tcPr>
          <w:p w14:paraId="653CE50E" w14:textId="2CEA22F4"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Investments in Joint Venture</w:t>
            </w:r>
          </w:p>
        </w:tc>
        <w:tc>
          <w:tcPr>
            <w:tcW w:w="628" w:type="dxa"/>
            <w:tcBorders>
              <w:bottom w:val="single" w:sz="4" w:space="0" w:color="auto"/>
            </w:tcBorders>
            <w:vAlign w:val="bottom"/>
          </w:tcPr>
          <w:p w14:paraId="6C2C44AB" w14:textId="2E3286F4" w:rsidR="00305444" w:rsidRPr="00F35510" w:rsidRDefault="00463501"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7</w:t>
            </w:r>
          </w:p>
        </w:tc>
        <w:tc>
          <w:tcPr>
            <w:tcW w:w="1356" w:type="dxa"/>
            <w:tcBorders>
              <w:bottom w:val="single" w:sz="4" w:space="0" w:color="auto"/>
            </w:tcBorders>
            <w:vAlign w:val="bottom"/>
          </w:tcPr>
          <w:p w14:paraId="79533440" w14:textId="1EBB52BC" w:rsidR="00305444" w:rsidRPr="00F35510" w:rsidDel="00E27937" w:rsidRDefault="00295DDB"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519,769</w:t>
            </w:r>
          </w:p>
        </w:tc>
        <w:tc>
          <w:tcPr>
            <w:tcW w:w="1548" w:type="dxa"/>
            <w:tcBorders>
              <w:bottom w:val="single" w:sz="4" w:space="0" w:color="auto"/>
            </w:tcBorders>
            <w:vAlign w:val="bottom"/>
          </w:tcPr>
          <w:p w14:paraId="08087D41" w14:textId="7AE7164E"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w:t>
            </w:r>
          </w:p>
        </w:tc>
        <w:tc>
          <w:tcPr>
            <w:tcW w:w="1541" w:type="dxa"/>
            <w:tcBorders>
              <w:bottom w:val="single" w:sz="4" w:space="0" w:color="auto"/>
            </w:tcBorders>
            <w:vAlign w:val="bottom"/>
          </w:tcPr>
          <w:p w14:paraId="48B9DFC9" w14:textId="45FA9767" w:rsidR="00305444" w:rsidRPr="00F35510" w:rsidRDefault="00305444" w:rsidP="00CF1DC5">
            <w:pPr>
              <w:tabs>
                <w:tab w:val="decimal" w:pos="4723"/>
                <w:tab w:val="decimal" w:pos="6019"/>
                <w:tab w:val="decimal" w:pos="7315"/>
                <w:tab w:val="decimal" w:pos="8611"/>
                <w:tab w:val="decimal" w:pos="9878"/>
              </w:tabs>
              <w:suppressAutoHyphens/>
              <w:spacing w:beforeLines="60" w:before="144"/>
              <w:jc w:val="right"/>
              <w:rPr>
                <w:rFonts w:ascii="Arial" w:hAnsi="Arial" w:cs="Arial"/>
                <w:sz w:val="18"/>
                <w:szCs w:val="18"/>
              </w:rPr>
            </w:pPr>
            <w:r w:rsidRPr="00F35510">
              <w:rPr>
                <w:rFonts w:ascii="Arial" w:hAnsi="Arial" w:cs="Arial"/>
                <w:sz w:val="18"/>
                <w:szCs w:val="18"/>
              </w:rPr>
              <w:t>-</w:t>
            </w:r>
          </w:p>
        </w:tc>
      </w:tr>
      <w:tr w:rsidR="00E27937" w:rsidRPr="00F35510" w14:paraId="5222A607" w14:textId="77777777" w:rsidTr="00CF1DC5">
        <w:trPr>
          <w:trHeight w:val="334"/>
        </w:trPr>
        <w:tc>
          <w:tcPr>
            <w:tcW w:w="4820" w:type="dxa"/>
            <w:tcBorders>
              <w:top w:val="single" w:sz="4" w:space="0" w:color="auto"/>
              <w:bottom w:val="single" w:sz="4" w:space="0" w:color="auto"/>
            </w:tcBorders>
            <w:vAlign w:val="bottom"/>
          </w:tcPr>
          <w:p w14:paraId="26F491B0" w14:textId="77777777" w:rsidR="00E27937" w:rsidRPr="00F35510" w:rsidRDefault="00E27937" w:rsidP="00E27937">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p>
        </w:tc>
        <w:tc>
          <w:tcPr>
            <w:tcW w:w="628" w:type="dxa"/>
            <w:tcBorders>
              <w:top w:val="single" w:sz="4" w:space="0" w:color="auto"/>
              <w:bottom w:val="single" w:sz="4" w:space="0" w:color="auto"/>
            </w:tcBorders>
            <w:vAlign w:val="bottom"/>
          </w:tcPr>
          <w:p w14:paraId="0F85C7AF" w14:textId="77777777" w:rsidR="00E27937" w:rsidRPr="00F35510" w:rsidRDefault="00E27937" w:rsidP="00E27937">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1A4A47A3" w14:textId="24C0A258" w:rsidR="00E27937" w:rsidRPr="00F35510" w:rsidRDefault="00295DDB" w:rsidP="00E27937">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sz w:val="18"/>
                <w:szCs w:val="18"/>
              </w:rPr>
              <w:t>30,866,097</w:t>
            </w:r>
          </w:p>
        </w:tc>
        <w:tc>
          <w:tcPr>
            <w:tcW w:w="1548" w:type="dxa"/>
            <w:tcBorders>
              <w:top w:val="single" w:sz="4" w:space="0" w:color="auto"/>
              <w:bottom w:val="single" w:sz="4" w:space="0" w:color="auto"/>
            </w:tcBorders>
            <w:vAlign w:val="bottom"/>
          </w:tcPr>
          <w:p w14:paraId="2EAB017F" w14:textId="42D84253" w:rsidR="00E27937" w:rsidRPr="00F35510" w:rsidRDefault="00E27937" w:rsidP="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sz w:val="18"/>
                <w:szCs w:val="18"/>
              </w:rPr>
              <w:t>28,631,940</w:t>
            </w:r>
          </w:p>
        </w:tc>
        <w:tc>
          <w:tcPr>
            <w:tcW w:w="1541" w:type="dxa"/>
            <w:tcBorders>
              <w:top w:val="single" w:sz="4" w:space="0" w:color="auto"/>
              <w:bottom w:val="single" w:sz="4" w:space="0" w:color="auto"/>
            </w:tcBorders>
            <w:vAlign w:val="bottom"/>
          </w:tcPr>
          <w:p w14:paraId="71653156" w14:textId="442F60FC" w:rsidR="00E27937" w:rsidRPr="00F35510" w:rsidRDefault="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sz w:val="18"/>
                <w:szCs w:val="18"/>
              </w:rPr>
              <w:t>29,724,968</w:t>
            </w:r>
          </w:p>
        </w:tc>
      </w:tr>
      <w:tr w:rsidR="00933E4C" w:rsidRPr="00F35510" w14:paraId="7DCEF7CC" w14:textId="77777777" w:rsidTr="00CF1DC5">
        <w:trPr>
          <w:trHeight w:val="366"/>
        </w:trPr>
        <w:tc>
          <w:tcPr>
            <w:tcW w:w="4820" w:type="dxa"/>
            <w:tcBorders>
              <w:top w:val="single" w:sz="4" w:space="0" w:color="auto"/>
            </w:tcBorders>
            <w:vAlign w:val="bottom"/>
          </w:tcPr>
          <w:p w14:paraId="16484911" w14:textId="77777777" w:rsidR="00933E4C" w:rsidRPr="00F35510" w:rsidRDefault="00933E4C" w:rsidP="00933E4C">
            <w:pPr>
              <w:tabs>
                <w:tab w:val="decimal" w:pos="4723"/>
                <w:tab w:val="decimal" w:pos="6019"/>
                <w:tab w:val="decimal" w:pos="7315"/>
                <w:tab w:val="decimal" w:pos="8611"/>
                <w:tab w:val="decimal" w:pos="9878"/>
              </w:tabs>
              <w:suppressAutoHyphens/>
              <w:rPr>
                <w:rFonts w:ascii="Arial" w:hAnsi="Arial" w:cs="Arial"/>
                <w:b/>
                <w:sz w:val="18"/>
                <w:szCs w:val="18"/>
              </w:rPr>
            </w:pPr>
            <w:r w:rsidRPr="00F35510">
              <w:rPr>
                <w:rFonts w:ascii="Arial" w:hAnsi="Arial" w:cs="Arial"/>
                <w:b/>
                <w:sz w:val="18"/>
                <w:szCs w:val="18"/>
              </w:rPr>
              <w:t>Current assets</w:t>
            </w:r>
          </w:p>
        </w:tc>
        <w:tc>
          <w:tcPr>
            <w:tcW w:w="628" w:type="dxa"/>
            <w:tcBorders>
              <w:top w:val="single" w:sz="4" w:space="0" w:color="auto"/>
            </w:tcBorders>
            <w:vAlign w:val="bottom"/>
          </w:tcPr>
          <w:p w14:paraId="6E27C194" w14:textId="77777777" w:rsidR="00933E4C" w:rsidRPr="00F35510" w:rsidRDefault="00933E4C" w:rsidP="00933E4C">
            <w:pPr>
              <w:tabs>
                <w:tab w:val="decimal" w:pos="4723"/>
                <w:tab w:val="decimal" w:pos="6019"/>
                <w:tab w:val="decimal" w:pos="7315"/>
                <w:tab w:val="decimal" w:pos="8611"/>
                <w:tab w:val="decimal" w:pos="9878"/>
              </w:tabs>
              <w:suppressAutoHyphens/>
              <w:ind w:right="-411"/>
              <w:rPr>
                <w:rFonts w:ascii="Arial" w:hAnsi="Arial" w:cs="Arial"/>
                <w:sz w:val="18"/>
                <w:szCs w:val="18"/>
              </w:rPr>
            </w:pPr>
          </w:p>
        </w:tc>
        <w:tc>
          <w:tcPr>
            <w:tcW w:w="1356" w:type="dxa"/>
            <w:tcBorders>
              <w:top w:val="single" w:sz="4" w:space="0" w:color="auto"/>
            </w:tcBorders>
            <w:vAlign w:val="bottom"/>
          </w:tcPr>
          <w:p w14:paraId="063A31A5" w14:textId="77777777" w:rsidR="00933E4C" w:rsidRPr="00F35510" w:rsidRDefault="00933E4C" w:rsidP="00933E4C">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tcBorders>
            <w:vAlign w:val="bottom"/>
          </w:tcPr>
          <w:p w14:paraId="018F498F"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sz w:val="18"/>
                <w:szCs w:val="18"/>
              </w:rPr>
            </w:pPr>
          </w:p>
        </w:tc>
        <w:tc>
          <w:tcPr>
            <w:tcW w:w="1541" w:type="dxa"/>
            <w:tcBorders>
              <w:top w:val="single" w:sz="4" w:space="0" w:color="auto"/>
            </w:tcBorders>
            <w:vAlign w:val="bottom"/>
          </w:tcPr>
          <w:p w14:paraId="7105926B"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bCs/>
                <w:sz w:val="18"/>
                <w:szCs w:val="18"/>
              </w:rPr>
            </w:pPr>
          </w:p>
        </w:tc>
      </w:tr>
      <w:tr w:rsidR="00305444" w:rsidRPr="00F35510" w14:paraId="496C0A34" w14:textId="77777777" w:rsidTr="00CF1DC5">
        <w:trPr>
          <w:trHeight w:val="263"/>
        </w:trPr>
        <w:tc>
          <w:tcPr>
            <w:tcW w:w="4820" w:type="dxa"/>
            <w:vAlign w:val="bottom"/>
          </w:tcPr>
          <w:p w14:paraId="3AFC55CE"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Trade and other receivables</w:t>
            </w:r>
          </w:p>
        </w:tc>
        <w:tc>
          <w:tcPr>
            <w:tcW w:w="628" w:type="dxa"/>
            <w:vAlign w:val="bottom"/>
          </w:tcPr>
          <w:p w14:paraId="7D748032"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vAlign w:val="bottom"/>
          </w:tcPr>
          <w:p w14:paraId="7966FF7D" w14:textId="0D20DB1F"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841,</w:t>
            </w:r>
            <w:r w:rsidR="00295DDB" w:rsidRPr="00F35510">
              <w:rPr>
                <w:rFonts w:ascii="Arial" w:hAnsi="Arial" w:cs="Arial"/>
                <w:sz w:val="18"/>
                <w:szCs w:val="18"/>
              </w:rPr>
              <w:t>338</w:t>
            </w:r>
          </w:p>
        </w:tc>
        <w:tc>
          <w:tcPr>
            <w:tcW w:w="1548" w:type="dxa"/>
            <w:vAlign w:val="bottom"/>
          </w:tcPr>
          <w:p w14:paraId="7F644C07" w14:textId="504E4D7B"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1,133,220</w:t>
            </w:r>
          </w:p>
        </w:tc>
        <w:tc>
          <w:tcPr>
            <w:tcW w:w="1541" w:type="dxa"/>
            <w:vAlign w:val="bottom"/>
          </w:tcPr>
          <w:p w14:paraId="45C59EDB" w14:textId="4B1FD44E"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228,909</w:t>
            </w:r>
          </w:p>
        </w:tc>
      </w:tr>
      <w:tr w:rsidR="00305444" w:rsidRPr="00F35510" w14:paraId="4FB98C87" w14:textId="77777777" w:rsidTr="00CF1DC5">
        <w:trPr>
          <w:trHeight w:val="274"/>
        </w:trPr>
        <w:tc>
          <w:tcPr>
            <w:tcW w:w="4820" w:type="dxa"/>
            <w:tcBorders>
              <w:bottom w:val="single" w:sz="4" w:space="0" w:color="auto"/>
            </w:tcBorders>
            <w:vAlign w:val="bottom"/>
          </w:tcPr>
          <w:p w14:paraId="50D05424" w14:textId="77777777" w:rsidR="00305444" w:rsidRPr="00F35510" w:rsidRDefault="00305444" w:rsidP="00305444">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F35510">
              <w:rPr>
                <w:rFonts w:ascii="Arial" w:hAnsi="Arial" w:cs="Arial"/>
                <w:sz w:val="18"/>
                <w:szCs w:val="18"/>
              </w:rPr>
              <w:t>Cash and cash equivalents</w:t>
            </w:r>
          </w:p>
        </w:tc>
        <w:tc>
          <w:tcPr>
            <w:tcW w:w="628" w:type="dxa"/>
            <w:tcBorders>
              <w:bottom w:val="single" w:sz="4" w:space="0" w:color="auto"/>
            </w:tcBorders>
            <w:vAlign w:val="bottom"/>
          </w:tcPr>
          <w:p w14:paraId="6338CE74" w14:textId="77777777" w:rsidR="00305444" w:rsidRPr="00F35510" w:rsidRDefault="00305444" w:rsidP="00305444">
            <w:pPr>
              <w:tabs>
                <w:tab w:val="decimal" w:pos="4723"/>
                <w:tab w:val="decimal" w:pos="6019"/>
                <w:tab w:val="decimal" w:pos="7315"/>
                <w:tab w:val="decimal" w:pos="8611"/>
                <w:tab w:val="decimal" w:pos="9878"/>
              </w:tabs>
              <w:suppressAutoHyphens/>
              <w:spacing w:after="60"/>
              <w:ind w:right="-411"/>
              <w:rPr>
                <w:rFonts w:ascii="Arial" w:hAnsi="Arial" w:cs="Arial"/>
                <w:sz w:val="18"/>
                <w:szCs w:val="18"/>
              </w:rPr>
            </w:pPr>
          </w:p>
        </w:tc>
        <w:tc>
          <w:tcPr>
            <w:tcW w:w="1356" w:type="dxa"/>
            <w:tcBorders>
              <w:bottom w:val="single" w:sz="4" w:space="0" w:color="auto"/>
            </w:tcBorders>
            <w:vAlign w:val="bottom"/>
          </w:tcPr>
          <w:p w14:paraId="15552F21" w14:textId="483E512D" w:rsidR="00305444" w:rsidRPr="00F35510" w:rsidRDefault="00305444" w:rsidP="00305444">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sidRPr="00F35510">
              <w:rPr>
                <w:rFonts w:ascii="Arial" w:hAnsi="Arial" w:cs="Arial"/>
                <w:sz w:val="18"/>
                <w:szCs w:val="18"/>
              </w:rPr>
              <w:t>4,950,800</w:t>
            </w:r>
          </w:p>
        </w:tc>
        <w:tc>
          <w:tcPr>
            <w:tcW w:w="1548" w:type="dxa"/>
            <w:tcBorders>
              <w:bottom w:val="single" w:sz="4" w:space="0" w:color="auto"/>
            </w:tcBorders>
            <w:vAlign w:val="bottom"/>
          </w:tcPr>
          <w:p w14:paraId="7FFDC98B" w14:textId="19BD0437" w:rsidR="00305444" w:rsidRPr="00F35510" w:rsidRDefault="00305444" w:rsidP="00305444">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sidRPr="00F35510">
              <w:rPr>
                <w:rFonts w:ascii="Arial" w:hAnsi="Arial" w:cs="Arial"/>
                <w:sz w:val="18"/>
                <w:szCs w:val="18"/>
              </w:rPr>
              <w:t>5,246,915</w:t>
            </w:r>
          </w:p>
        </w:tc>
        <w:tc>
          <w:tcPr>
            <w:tcW w:w="1541" w:type="dxa"/>
            <w:tcBorders>
              <w:bottom w:val="single" w:sz="4" w:space="0" w:color="auto"/>
            </w:tcBorders>
            <w:vAlign w:val="bottom"/>
          </w:tcPr>
          <w:p w14:paraId="4629E16A" w14:textId="1F2080D7" w:rsidR="00305444" w:rsidRPr="00F35510" w:rsidRDefault="00305444" w:rsidP="00CF1DC5">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2,701,792</w:t>
            </w:r>
          </w:p>
        </w:tc>
      </w:tr>
      <w:tr w:rsidR="00305444" w:rsidRPr="00F35510" w14:paraId="3385597B" w14:textId="77777777" w:rsidTr="00CF1DC5">
        <w:trPr>
          <w:trHeight w:val="323"/>
        </w:trPr>
        <w:tc>
          <w:tcPr>
            <w:tcW w:w="4820" w:type="dxa"/>
            <w:tcBorders>
              <w:top w:val="single" w:sz="4" w:space="0" w:color="auto"/>
              <w:bottom w:val="single" w:sz="4" w:space="0" w:color="auto"/>
            </w:tcBorders>
            <w:vAlign w:val="bottom"/>
          </w:tcPr>
          <w:p w14:paraId="1C50FBE6"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p>
        </w:tc>
        <w:tc>
          <w:tcPr>
            <w:tcW w:w="628" w:type="dxa"/>
            <w:tcBorders>
              <w:top w:val="single" w:sz="4" w:space="0" w:color="auto"/>
              <w:bottom w:val="single" w:sz="4" w:space="0" w:color="auto"/>
            </w:tcBorders>
            <w:vAlign w:val="bottom"/>
          </w:tcPr>
          <w:p w14:paraId="69DC6CC3"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4845563F" w14:textId="4082DCE0"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5,792,</w:t>
            </w:r>
            <w:r w:rsidR="00295DDB" w:rsidRPr="00F35510">
              <w:rPr>
                <w:rFonts w:ascii="Arial" w:hAnsi="Arial" w:cs="Arial"/>
                <w:b/>
                <w:bCs/>
                <w:sz w:val="18"/>
                <w:szCs w:val="18"/>
              </w:rPr>
              <w:t>138</w:t>
            </w:r>
          </w:p>
        </w:tc>
        <w:tc>
          <w:tcPr>
            <w:tcW w:w="1548" w:type="dxa"/>
            <w:tcBorders>
              <w:top w:val="single" w:sz="4" w:space="0" w:color="auto"/>
              <w:bottom w:val="single" w:sz="4" w:space="0" w:color="auto"/>
            </w:tcBorders>
            <w:vAlign w:val="bottom"/>
          </w:tcPr>
          <w:p w14:paraId="270A8DD3" w14:textId="1890EB17"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6,380,135</w:t>
            </w:r>
          </w:p>
        </w:tc>
        <w:tc>
          <w:tcPr>
            <w:tcW w:w="1541" w:type="dxa"/>
            <w:tcBorders>
              <w:top w:val="single" w:sz="4" w:space="0" w:color="auto"/>
              <w:bottom w:val="single" w:sz="4" w:space="0" w:color="auto"/>
            </w:tcBorders>
            <w:vAlign w:val="bottom"/>
          </w:tcPr>
          <w:p w14:paraId="5AEF9072" w14:textId="60EA6663"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2,930,701</w:t>
            </w:r>
            <w:r w:rsidRPr="00F35510" w:rsidDel="00A132B2">
              <w:rPr>
                <w:rFonts w:ascii="Arial" w:hAnsi="Arial" w:cs="Arial"/>
                <w:b/>
                <w:bCs/>
                <w:sz w:val="18"/>
                <w:szCs w:val="18"/>
              </w:rPr>
              <w:t xml:space="preserve"> </w:t>
            </w:r>
          </w:p>
        </w:tc>
      </w:tr>
      <w:tr w:rsidR="00305444" w:rsidRPr="00F35510" w14:paraId="665EBBA7" w14:textId="77777777" w:rsidTr="00CF1DC5">
        <w:trPr>
          <w:trHeight w:val="395"/>
        </w:trPr>
        <w:tc>
          <w:tcPr>
            <w:tcW w:w="4820" w:type="dxa"/>
            <w:tcBorders>
              <w:top w:val="single" w:sz="4" w:space="0" w:color="auto"/>
              <w:bottom w:val="single" w:sz="4" w:space="0" w:color="auto"/>
            </w:tcBorders>
            <w:vAlign w:val="bottom"/>
          </w:tcPr>
          <w:p w14:paraId="1DC68506"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F35510">
              <w:rPr>
                <w:rFonts w:ascii="Arial" w:hAnsi="Arial" w:cs="Arial"/>
                <w:b/>
                <w:sz w:val="18"/>
                <w:szCs w:val="18"/>
              </w:rPr>
              <w:t>Total assets</w:t>
            </w:r>
          </w:p>
        </w:tc>
        <w:tc>
          <w:tcPr>
            <w:tcW w:w="628" w:type="dxa"/>
            <w:tcBorders>
              <w:top w:val="single" w:sz="4" w:space="0" w:color="auto"/>
              <w:bottom w:val="single" w:sz="4" w:space="0" w:color="auto"/>
            </w:tcBorders>
            <w:vAlign w:val="bottom"/>
          </w:tcPr>
          <w:p w14:paraId="63E9F9A4"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221AE6D7" w14:textId="77604215" w:rsidR="00305444" w:rsidRPr="00F35510" w:rsidRDefault="00295DDB"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36,658,235</w:t>
            </w:r>
          </w:p>
        </w:tc>
        <w:tc>
          <w:tcPr>
            <w:tcW w:w="1548" w:type="dxa"/>
            <w:tcBorders>
              <w:top w:val="single" w:sz="4" w:space="0" w:color="auto"/>
              <w:bottom w:val="single" w:sz="4" w:space="0" w:color="auto"/>
            </w:tcBorders>
            <w:vAlign w:val="bottom"/>
          </w:tcPr>
          <w:p w14:paraId="7D168CE9" w14:textId="7B43DC50"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35,012,075</w:t>
            </w:r>
          </w:p>
        </w:tc>
        <w:tc>
          <w:tcPr>
            <w:tcW w:w="1541" w:type="dxa"/>
            <w:tcBorders>
              <w:top w:val="single" w:sz="4" w:space="0" w:color="auto"/>
              <w:bottom w:val="single" w:sz="4" w:space="0" w:color="auto"/>
            </w:tcBorders>
            <w:vAlign w:val="bottom"/>
          </w:tcPr>
          <w:p w14:paraId="6528B96F" w14:textId="4E78DF25"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32,655,669</w:t>
            </w:r>
          </w:p>
        </w:tc>
      </w:tr>
      <w:tr w:rsidR="00933E4C" w:rsidRPr="00F35510" w14:paraId="6D2F8AF8" w14:textId="77777777" w:rsidTr="00CF1DC5">
        <w:trPr>
          <w:trHeight w:val="323"/>
        </w:trPr>
        <w:tc>
          <w:tcPr>
            <w:tcW w:w="4820" w:type="dxa"/>
            <w:tcBorders>
              <w:top w:val="single" w:sz="4" w:space="0" w:color="auto"/>
              <w:bottom w:val="single" w:sz="4" w:space="0" w:color="auto"/>
            </w:tcBorders>
            <w:vAlign w:val="bottom"/>
          </w:tcPr>
          <w:p w14:paraId="5B51D7D3" w14:textId="77777777" w:rsidR="00933E4C" w:rsidRPr="00F35510" w:rsidRDefault="00933E4C" w:rsidP="00933E4C">
            <w:pPr>
              <w:tabs>
                <w:tab w:val="decimal" w:pos="4723"/>
                <w:tab w:val="decimal" w:pos="6019"/>
                <w:tab w:val="decimal" w:pos="7315"/>
                <w:tab w:val="decimal" w:pos="8611"/>
                <w:tab w:val="decimal" w:pos="9878"/>
              </w:tabs>
              <w:suppressAutoHyphens/>
              <w:rPr>
                <w:rFonts w:ascii="Arial" w:hAnsi="Arial" w:cs="Arial"/>
                <w:b/>
                <w:sz w:val="18"/>
                <w:szCs w:val="18"/>
              </w:rPr>
            </w:pPr>
          </w:p>
        </w:tc>
        <w:tc>
          <w:tcPr>
            <w:tcW w:w="628" w:type="dxa"/>
            <w:tcBorders>
              <w:top w:val="single" w:sz="4" w:space="0" w:color="auto"/>
              <w:bottom w:val="single" w:sz="4" w:space="0" w:color="auto"/>
            </w:tcBorders>
            <w:vAlign w:val="bottom"/>
          </w:tcPr>
          <w:p w14:paraId="6DD1918A" w14:textId="77777777" w:rsidR="00933E4C" w:rsidRPr="00F35510" w:rsidRDefault="00933E4C" w:rsidP="00933E4C">
            <w:pPr>
              <w:tabs>
                <w:tab w:val="decimal" w:pos="4723"/>
                <w:tab w:val="decimal" w:pos="6019"/>
                <w:tab w:val="decimal" w:pos="7315"/>
                <w:tab w:val="decimal" w:pos="8611"/>
                <w:tab w:val="decimal" w:pos="9878"/>
              </w:tabs>
              <w:suppressAutoHyphens/>
              <w:ind w:right="-411"/>
              <w:rPr>
                <w:rFonts w:ascii="Arial" w:hAnsi="Arial" w:cs="Arial"/>
                <w:sz w:val="18"/>
                <w:szCs w:val="18"/>
              </w:rPr>
            </w:pPr>
          </w:p>
        </w:tc>
        <w:tc>
          <w:tcPr>
            <w:tcW w:w="1356" w:type="dxa"/>
            <w:tcBorders>
              <w:top w:val="single" w:sz="4" w:space="0" w:color="auto"/>
              <w:bottom w:val="single" w:sz="4" w:space="0" w:color="auto"/>
            </w:tcBorders>
            <w:vAlign w:val="bottom"/>
          </w:tcPr>
          <w:p w14:paraId="1BC95DCF" w14:textId="77777777" w:rsidR="00933E4C" w:rsidRPr="00F35510" w:rsidRDefault="00933E4C" w:rsidP="00933E4C">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bottom w:val="single" w:sz="4" w:space="0" w:color="auto"/>
            </w:tcBorders>
            <w:vAlign w:val="bottom"/>
          </w:tcPr>
          <w:p w14:paraId="17209FA6"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sz w:val="18"/>
                <w:szCs w:val="18"/>
              </w:rPr>
            </w:pPr>
          </w:p>
        </w:tc>
        <w:tc>
          <w:tcPr>
            <w:tcW w:w="1541" w:type="dxa"/>
            <w:tcBorders>
              <w:top w:val="single" w:sz="4" w:space="0" w:color="auto"/>
              <w:bottom w:val="single" w:sz="4" w:space="0" w:color="auto"/>
            </w:tcBorders>
            <w:vAlign w:val="bottom"/>
          </w:tcPr>
          <w:p w14:paraId="599967CA"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bCs/>
                <w:sz w:val="18"/>
                <w:szCs w:val="18"/>
              </w:rPr>
            </w:pPr>
          </w:p>
        </w:tc>
      </w:tr>
      <w:tr w:rsidR="00933E4C" w:rsidRPr="00F35510" w14:paraId="0032595C" w14:textId="77777777" w:rsidTr="00CF1DC5">
        <w:trPr>
          <w:trHeight w:val="334"/>
        </w:trPr>
        <w:tc>
          <w:tcPr>
            <w:tcW w:w="4820" w:type="dxa"/>
            <w:tcBorders>
              <w:top w:val="single" w:sz="4" w:space="0" w:color="auto"/>
            </w:tcBorders>
            <w:vAlign w:val="bottom"/>
          </w:tcPr>
          <w:p w14:paraId="53F33D16" w14:textId="77777777" w:rsidR="00933E4C" w:rsidRPr="00F35510" w:rsidRDefault="00933E4C" w:rsidP="00933E4C">
            <w:pPr>
              <w:tabs>
                <w:tab w:val="decimal" w:pos="4723"/>
                <w:tab w:val="decimal" w:pos="6019"/>
                <w:tab w:val="decimal" w:pos="7315"/>
                <w:tab w:val="decimal" w:pos="8611"/>
                <w:tab w:val="decimal" w:pos="9878"/>
              </w:tabs>
              <w:suppressAutoHyphens/>
              <w:rPr>
                <w:rFonts w:ascii="Arial" w:hAnsi="Arial" w:cs="Arial"/>
                <w:b/>
                <w:sz w:val="18"/>
                <w:szCs w:val="18"/>
              </w:rPr>
            </w:pPr>
            <w:r w:rsidRPr="00F35510">
              <w:rPr>
                <w:rFonts w:ascii="Arial" w:hAnsi="Arial" w:cs="Arial"/>
                <w:b/>
                <w:sz w:val="18"/>
                <w:szCs w:val="18"/>
              </w:rPr>
              <w:t>Non-current liabilities</w:t>
            </w:r>
          </w:p>
        </w:tc>
        <w:tc>
          <w:tcPr>
            <w:tcW w:w="628" w:type="dxa"/>
            <w:tcBorders>
              <w:top w:val="single" w:sz="4" w:space="0" w:color="auto"/>
            </w:tcBorders>
            <w:vAlign w:val="bottom"/>
          </w:tcPr>
          <w:p w14:paraId="357B4B89" w14:textId="77777777" w:rsidR="00933E4C" w:rsidRPr="00F35510" w:rsidRDefault="00933E4C" w:rsidP="00933E4C">
            <w:pPr>
              <w:tabs>
                <w:tab w:val="decimal" w:pos="4723"/>
                <w:tab w:val="decimal" w:pos="6019"/>
                <w:tab w:val="decimal" w:pos="7315"/>
                <w:tab w:val="decimal" w:pos="8611"/>
                <w:tab w:val="decimal" w:pos="9878"/>
              </w:tabs>
              <w:suppressAutoHyphens/>
              <w:ind w:right="-411"/>
              <w:rPr>
                <w:rFonts w:ascii="Arial" w:hAnsi="Arial" w:cs="Arial"/>
                <w:sz w:val="18"/>
                <w:szCs w:val="18"/>
              </w:rPr>
            </w:pPr>
          </w:p>
        </w:tc>
        <w:tc>
          <w:tcPr>
            <w:tcW w:w="1356" w:type="dxa"/>
            <w:tcBorders>
              <w:top w:val="single" w:sz="4" w:space="0" w:color="auto"/>
            </w:tcBorders>
            <w:vAlign w:val="bottom"/>
          </w:tcPr>
          <w:p w14:paraId="560D98BD" w14:textId="77777777" w:rsidR="00933E4C" w:rsidRPr="00F35510" w:rsidRDefault="00933E4C" w:rsidP="00933E4C">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tcBorders>
            <w:vAlign w:val="bottom"/>
          </w:tcPr>
          <w:p w14:paraId="62A97FEC"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sz w:val="18"/>
                <w:szCs w:val="18"/>
              </w:rPr>
            </w:pPr>
          </w:p>
        </w:tc>
        <w:tc>
          <w:tcPr>
            <w:tcW w:w="1541" w:type="dxa"/>
            <w:tcBorders>
              <w:top w:val="single" w:sz="4" w:space="0" w:color="auto"/>
            </w:tcBorders>
            <w:vAlign w:val="bottom"/>
          </w:tcPr>
          <w:p w14:paraId="1B9D64D7"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bCs/>
                <w:sz w:val="18"/>
                <w:szCs w:val="18"/>
              </w:rPr>
            </w:pPr>
          </w:p>
        </w:tc>
      </w:tr>
      <w:tr w:rsidR="00933E4C" w:rsidRPr="00F35510" w14:paraId="25EE89BC" w14:textId="77777777" w:rsidTr="00CF1DC5">
        <w:trPr>
          <w:trHeight w:val="334"/>
        </w:trPr>
        <w:tc>
          <w:tcPr>
            <w:tcW w:w="4820" w:type="dxa"/>
            <w:vAlign w:val="bottom"/>
          </w:tcPr>
          <w:p w14:paraId="269ADC51" w14:textId="77777777" w:rsidR="00933E4C" w:rsidRPr="00F35510" w:rsidRDefault="00933E4C" w:rsidP="00933E4C">
            <w:pPr>
              <w:tabs>
                <w:tab w:val="decimal" w:pos="4723"/>
                <w:tab w:val="decimal" w:pos="6019"/>
                <w:tab w:val="decimal" w:pos="7315"/>
                <w:tab w:val="decimal" w:pos="8611"/>
                <w:tab w:val="decimal" w:pos="9878"/>
              </w:tabs>
              <w:suppressAutoHyphens/>
              <w:spacing w:before="60"/>
              <w:rPr>
                <w:rFonts w:ascii="Arial" w:hAnsi="Arial" w:cs="Arial"/>
                <w:sz w:val="18"/>
                <w:szCs w:val="18"/>
              </w:rPr>
            </w:pPr>
            <w:r w:rsidRPr="00F35510">
              <w:rPr>
                <w:rFonts w:ascii="Arial" w:hAnsi="Arial" w:cs="Arial"/>
                <w:sz w:val="18"/>
                <w:szCs w:val="18"/>
              </w:rPr>
              <w:t>Lease liabilities</w:t>
            </w:r>
          </w:p>
        </w:tc>
        <w:tc>
          <w:tcPr>
            <w:tcW w:w="628" w:type="dxa"/>
            <w:vAlign w:val="bottom"/>
          </w:tcPr>
          <w:p w14:paraId="1E02C441" w14:textId="77777777" w:rsidR="00933E4C" w:rsidRPr="00F35510" w:rsidRDefault="00933E4C" w:rsidP="00933E4C">
            <w:pPr>
              <w:tabs>
                <w:tab w:val="decimal" w:pos="4723"/>
                <w:tab w:val="decimal" w:pos="6019"/>
                <w:tab w:val="decimal" w:pos="7315"/>
                <w:tab w:val="decimal" w:pos="8611"/>
                <w:tab w:val="decimal" w:pos="9878"/>
              </w:tabs>
              <w:suppressAutoHyphens/>
              <w:spacing w:before="60"/>
              <w:ind w:right="-411"/>
              <w:rPr>
                <w:rFonts w:ascii="Arial" w:hAnsi="Arial" w:cs="Arial"/>
                <w:sz w:val="18"/>
                <w:szCs w:val="18"/>
              </w:rPr>
            </w:pPr>
          </w:p>
        </w:tc>
        <w:tc>
          <w:tcPr>
            <w:tcW w:w="1356" w:type="dxa"/>
            <w:vAlign w:val="bottom"/>
          </w:tcPr>
          <w:p w14:paraId="6B2FB5A5" w14:textId="77777777" w:rsidR="00933E4C" w:rsidRPr="00F35510" w:rsidRDefault="005D57AD" w:rsidP="00933E4C">
            <w:pPr>
              <w:tabs>
                <w:tab w:val="decimal" w:pos="4723"/>
                <w:tab w:val="decimal" w:pos="6019"/>
                <w:tab w:val="decimal" w:pos="7315"/>
                <w:tab w:val="decimal" w:pos="8611"/>
                <w:tab w:val="decimal" w:pos="9878"/>
              </w:tabs>
              <w:suppressAutoHyphens/>
              <w:spacing w:before="60"/>
              <w:jc w:val="right"/>
              <w:rPr>
                <w:rFonts w:ascii="Arial" w:hAnsi="Arial" w:cs="Arial"/>
                <w:sz w:val="18"/>
                <w:szCs w:val="18"/>
              </w:rPr>
            </w:pPr>
            <w:r w:rsidRPr="00F35510">
              <w:rPr>
                <w:rFonts w:ascii="Arial" w:hAnsi="Arial" w:cs="Arial"/>
                <w:sz w:val="18"/>
                <w:szCs w:val="18"/>
              </w:rPr>
              <w:t>-</w:t>
            </w:r>
          </w:p>
        </w:tc>
        <w:tc>
          <w:tcPr>
            <w:tcW w:w="1548" w:type="dxa"/>
            <w:vAlign w:val="bottom"/>
          </w:tcPr>
          <w:p w14:paraId="20587873" w14:textId="77777777" w:rsidR="00933E4C" w:rsidRPr="00F35510" w:rsidDel="00C53BB4" w:rsidRDefault="00933E4C" w:rsidP="00305444">
            <w:pPr>
              <w:tabs>
                <w:tab w:val="decimal" w:pos="4723"/>
                <w:tab w:val="decimal" w:pos="6019"/>
                <w:tab w:val="decimal" w:pos="7315"/>
                <w:tab w:val="decimal" w:pos="8611"/>
                <w:tab w:val="decimal" w:pos="9878"/>
              </w:tabs>
              <w:suppressAutoHyphens/>
              <w:spacing w:before="60"/>
              <w:jc w:val="right"/>
              <w:rPr>
                <w:rFonts w:ascii="Arial" w:hAnsi="Arial" w:cs="Arial"/>
                <w:sz w:val="18"/>
                <w:szCs w:val="18"/>
              </w:rPr>
            </w:pPr>
            <w:r w:rsidRPr="00F35510">
              <w:rPr>
                <w:rFonts w:ascii="Arial" w:hAnsi="Arial" w:cs="Arial"/>
                <w:sz w:val="18"/>
                <w:szCs w:val="18"/>
              </w:rPr>
              <w:t>-</w:t>
            </w:r>
          </w:p>
        </w:tc>
        <w:tc>
          <w:tcPr>
            <w:tcW w:w="1541" w:type="dxa"/>
            <w:vAlign w:val="bottom"/>
          </w:tcPr>
          <w:p w14:paraId="7D1190D7" w14:textId="2C41E07C" w:rsidR="00933E4C" w:rsidRPr="00F35510" w:rsidRDefault="0016231C" w:rsidP="00305444">
            <w:pPr>
              <w:tabs>
                <w:tab w:val="decimal" w:pos="4723"/>
                <w:tab w:val="decimal" w:pos="6019"/>
                <w:tab w:val="decimal" w:pos="7315"/>
                <w:tab w:val="decimal" w:pos="8611"/>
                <w:tab w:val="decimal" w:pos="9878"/>
              </w:tabs>
              <w:suppressAutoHyphens/>
              <w:spacing w:before="60"/>
              <w:jc w:val="right"/>
              <w:rPr>
                <w:rFonts w:ascii="Arial" w:hAnsi="Arial" w:cs="Arial"/>
                <w:sz w:val="18"/>
                <w:szCs w:val="18"/>
              </w:rPr>
            </w:pPr>
            <w:r w:rsidRPr="00F35510">
              <w:rPr>
                <w:rFonts w:ascii="Arial" w:hAnsi="Arial" w:cs="Arial"/>
                <w:sz w:val="18"/>
                <w:szCs w:val="18"/>
              </w:rPr>
              <w:t>-</w:t>
            </w:r>
          </w:p>
        </w:tc>
      </w:tr>
      <w:tr w:rsidR="00933E4C" w:rsidRPr="00F35510" w14:paraId="274050B6" w14:textId="77777777" w:rsidTr="00CF1DC5">
        <w:trPr>
          <w:trHeight w:val="334"/>
        </w:trPr>
        <w:tc>
          <w:tcPr>
            <w:tcW w:w="4820" w:type="dxa"/>
            <w:tcBorders>
              <w:bottom w:val="single" w:sz="4" w:space="0" w:color="auto"/>
            </w:tcBorders>
            <w:vAlign w:val="bottom"/>
          </w:tcPr>
          <w:p w14:paraId="4B26AE10" w14:textId="77777777" w:rsidR="00933E4C" w:rsidRPr="00F35510" w:rsidRDefault="00933E4C" w:rsidP="00933E4C">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F35510">
              <w:rPr>
                <w:rFonts w:ascii="Arial" w:hAnsi="Arial" w:cs="Arial"/>
                <w:sz w:val="18"/>
                <w:szCs w:val="18"/>
              </w:rPr>
              <w:t>Deferred tax liabilities</w:t>
            </w:r>
          </w:p>
        </w:tc>
        <w:tc>
          <w:tcPr>
            <w:tcW w:w="628" w:type="dxa"/>
            <w:tcBorders>
              <w:bottom w:val="single" w:sz="4" w:space="0" w:color="auto"/>
            </w:tcBorders>
            <w:vAlign w:val="bottom"/>
          </w:tcPr>
          <w:p w14:paraId="25F08191" w14:textId="77777777" w:rsidR="00933E4C" w:rsidRPr="00F35510" w:rsidRDefault="00933E4C" w:rsidP="00933E4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bottom w:val="single" w:sz="4" w:space="0" w:color="auto"/>
            </w:tcBorders>
            <w:vAlign w:val="bottom"/>
          </w:tcPr>
          <w:p w14:paraId="16A764C8" w14:textId="22852673" w:rsidR="00933E4C" w:rsidRPr="00F35510" w:rsidRDefault="00E17B00" w:rsidP="00933E4C">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496,045</w:t>
            </w:r>
          </w:p>
        </w:tc>
        <w:tc>
          <w:tcPr>
            <w:tcW w:w="1548" w:type="dxa"/>
            <w:tcBorders>
              <w:bottom w:val="single" w:sz="4" w:space="0" w:color="auto"/>
            </w:tcBorders>
            <w:vAlign w:val="bottom"/>
          </w:tcPr>
          <w:p w14:paraId="2ED1FC9D" w14:textId="77777777" w:rsidR="00933E4C" w:rsidRPr="00F35510" w:rsidRDefault="00933E4C"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496,045</w:t>
            </w:r>
          </w:p>
        </w:tc>
        <w:tc>
          <w:tcPr>
            <w:tcW w:w="1541" w:type="dxa"/>
            <w:tcBorders>
              <w:bottom w:val="single" w:sz="4" w:space="0" w:color="auto"/>
            </w:tcBorders>
            <w:vAlign w:val="bottom"/>
          </w:tcPr>
          <w:p w14:paraId="48D4D01A" w14:textId="77777777" w:rsidR="00933E4C" w:rsidRPr="00F35510" w:rsidRDefault="00933E4C"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496,045</w:t>
            </w:r>
          </w:p>
        </w:tc>
      </w:tr>
      <w:tr w:rsidR="0016231C" w:rsidRPr="00F35510" w14:paraId="40FD5962" w14:textId="77777777" w:rsidTr="00CF1DC5">
        <w:trPr>
          <w:trHeight w:val="323"/>
        </w:trPr>
        <w:tc>
          <w:tcPr>
            <w:tcW w:w="4820" w:type="dxa"/>
            <w:tcBorders>
              <w:top w:val="single" w:sz="4" w:space="0" w:color="auto"/>
            </w:tcBorders>
            <w:vAlign w:val="bottom"/>
          </w:tcPr>
          <w:p w14:paraId="696512BB"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p>
        </w:tc>
        <w:tc>
          <w:tcPr>
            <w:tcW w:w="628" w:type="dxa"/>
            <w:tcBorders>
              <w:top w:val="single" w:sz="4" w:space="0" w:color="auto"/>
            </w:tcBorders>
            <w:vAlign w:val="bottom"/>
          </w:tcPr>
          <w:p w14:paraId="658C8E1C"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tcBorders>
            <w:vAlign w:val="bottom"/>
          </w:tcPr>
          <w:p w14:paraId="5C34C3E1" w14:textId="299026B3" w:rsidR="0016231C" w:rsidRPr="00F35510" w:rsidRDefault="00E17B00" w:rsidP="0016231C">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496,045</w:t>
            </w:r>
          </w:p>
        </w:tc>
        <w:tc>
          <w:tcPr>
            <w:tcW w:w="1548" w:type="dxa"/>
            <w:tcBorders>
              <w:top w:val="single" w:sz="4" w:space="0" w:color="auto"/>
            </w:tcBorders>
            <w:vAlign w:val="bottom"/>
          </w:tcPr>
          <w:p w14:paraId="6F4B644E" w14:textId="77777777"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bCs/>
                <w:sz w:val="18"/>
                <w:szCs w:val="18"/>
              </w:rPr>
              <w:t>496,045</w:t>
            </w:r>
          </w:p>
        </w:tc>
        <w:tc>
          <w:tcPr>
            <w:tcW w:w="1541" w:type="dxa"/>
            <w:tcBorders>
              <w:top w:val="single" w:sz="4" w:space="0" w:color="auto"/>
            </w:tcBorders>
            <w:vAlign w:val="bottom"/>
          </w:tcPr>
          <w:p w14:paraId="3A53EECF" w14:textId="1A29630B"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496,045</w:t>
            </w:r>
          </w:p>
        </w:tc>
      </w:tr>
      <w:tr w:rsidR="00933E4C" w:rsidRPr="00F35510" w14:paraId="628DFF2E" w14:textId="77777777" w:rsidTr="00CF1DC5">
        <w:trPr>
          <w:trHeight w:val="334"/>
        </w:trPr>
        <w:tc>
          <w:tcPr>
            <w:tcW w:w="4820" w:type="dxa"/>
            <w:tcBorders>
              <w:top w:val="single" w:sz="4" w:space="0" w:color="auto"/>
            </w:tcBorders>
            <w:vAlign w:val="bottom"/>
          </w:tcPr>
          <w:p w14:paraId="525AEACE" w14:textId="77777777" w:rsidR="00933E4C" w:rsidRPr="00F35510" w:rsidRDefault="00933E4C" w:rsidP="00933E4C">
            <w:pPr>
              <w:tabs>
                <w:tab w:val="decimal" w:pos="4723"/>
                <w:tab w:val="decimal" w:pos="6019"/>
                <w:tab w:val="decimal" w:pos="7315"/>
                <w:tab w:val="decimal" w:pos="8611"/>
                <w:tab w:val="decimal" w:pos="9878"/>
              </w:tabs>
              <w:suppressAutoHyphens/>
              <w:rPr>
                <w:rFonts w:ascii="Arial" w:hAnsi="Arial" w:cs="Arial"/>
                <w:b/>
                <w:sz w:val="18"/>
                <w:szCs w:val="18"/>
              </w:rPr>
            </w:pPr>
            <w:r w:rsidRPr="00F35510">
              <w:rPr>
                <w:rFonts w:ascii="Arial" w:hAnsi="Arial" w:cs="Arial"/>
                <w:b/>
                <w:sz w:val="18"/>
                <w:szCs w:val="18"/>
              </w:rPr>
              <w:t>Current liabilities</w:t>
            </w:r>
          </w:p>
        </w:tc>
        <w:tc>
          <w:tcPr>
            <w:tcW w:w="628" w:type="dxa"/>
            <w:tcBorders>
              <w:top w:val="single" w:sz="4" w:space="0" w:color="auto"/>
            </w:tcBorders>
            <w:vAlign w:val="bottom"/>
          </w:tcPr>
          <w:p w14:paraId="04EEB163" w14:textId="77777777" w:rsidR="00933E4C" w:rsidRPr="00F35510" w:rsidRDefault="00933E4C" w:rsidP="00933E4C">
            <w:pPr>
              <w:tabs>
                <w:tab w:val="decimal" w:pos="4723"/>
                <w:tab w:val="decimal" w:pos="6019"/>
                <w:tab w:val="decimal" w:pos="7315"/>
                <w:tab w:val="decimal" w:pos="8611"/>
                <w:tab w:val="decimal" w:pos="9878"/>
              </w:tabs>
              <w:suppressAutoHyphens/>
              <w:ind w:right="-411"/>
              <w:rPr>
                <w:rFonts w:ascii="Arial" w:hAnsi="Arial" w:cs="Arial"/>
                <w:sz w:val="18"/>
                <w:szCs w:val="18"/>
              </w:rPr>
            </w:pPr>
          </w:p>
        </w:tc>
        <w:tc>
          <w:tcPr>
            <w:tcW w:w="1356" w:type="dxa"/>
            <w:tcBorders>
              <w:top w:val="single" w:sz="4" w:space="0" w:color="auto"/>
            </w:tcBorders>
            <w:vAlign w:val="bottom"/>
          </w:tcPr>
          <w:p w14:paraId="5417E08E" w14:textId="77777777" w:rsidR="00933E4C" w:rsidRPr="00F35510" w:rsidRDefault="00933E4C" w:rsidP="00933E4C">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tcBorders>
            <w:vAlign w:val="bottom"/>
          </w:tcPr>
          <w:p w14:paraId="330E8D44"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sz w:val="18"/>
                <w:szCs w:val="18"/>
              </w:rPr>
            </w:pPr>
          </w:p>
        </w:tc>
        <w:tc>
          <w:tcPr>
            <w:tcW w:w="1541" w:type="dxa"/>
            <w:tcBorders>
              <w:top w:val="single" w:sz="4" w:space="0" w:color="auto"/>
            </w:tcBorders>
            <w:vAlign w:val="bottom"/>
          </w:tcPr>
          <w:p w14:paraId="504E2FD6" w14:textId="77777777" w:rsidR="00933E4C" w:rsidRPr="00F35510" w:rsidRDefault="00933E4C" w:rsidP="00305444">
            <w:pPr>
              <w:tabs>
                <w:tab w:val="decimal" w:pos="4723"/>
                <w:tab w:val="decimal" w:pos="6019"/>
                <w:tab w:val="decimal" w:pos="7315"/>
                <w:tab w:val="decimal" w:pos="8611"/>
                <w:tab w:val="decimal" w:pos="9878"/>
              </w:tabs>
              <w:suppressAutoHyphens/>
              <w:jc w:val="right"/>
              <w:rPr>
                <w:rFonts w:ascii="Arial" w:hAnsi="Arial" w:cs="Arial"/>
                <w:b/>
                <w:bCs/>
                <w:sz w:val="18"/>
                <w:szCs w:val="18"/>
              </w:rPr>
            </w:pPr>
          </w:p>
        </w:tc>
      </w:tr>
      <w:tr w:rsidR="0016231C" w:rsidRPr="00F35510" w14:paraId="05E5463E" w14:textId="77777777" w:rsidTr="00CF1DC5">
        <w:trPr>
          <w:trHeight w:val="263"/>
        </w:trPr>
        <w:tc>
          <w:tcPr>
            <w:tcW w:w="4820" w:type="dxa"/>
            <w:vAlign w:val="bottom"/>
          </w:tcPr>
          <w:p w14:paraId="7C836AC3"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Lease liabilities</w:t>
            </w:r>
          </w:p>
        </w:tc>
        <w:tc>
          <w:tcPr>
            <w:tcW w:w="628" w:type="dxa"/>
            <w:vAlign w:val="bottom"/>
          </w:tcPr>
          <w:p w14:paraId="58A3BFFC"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vAlign w:val="bottom"/>
          </w:tcPr>
          <w:p w14:paraId="1D091E36" w14:textId="40C95172" w:rsidR="0016231C" w:rsidRPr="00F35510" w:rsidRDefault="0016231C" w:rsidP="0016231C">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w:t>
            </w:r>
          </w:p>
        </w:tc>
        <w:tc>
          <w:tcPr>
            <w:tcW w:w="1548" w:type="dxa"/>
            <w:vAlign w:val="bottom"/>
          </w:tcPr>
          <w:p w14:paraId="01D8B42B" w14:textId="064661F4"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20,896</w:t>
            </w:r>
          </w:p>
        </w:tc>
        <w:tc>
          <w:tcPr>
            <w:tcW w:w="1541" w:type="dxa"/>
            <w:vAlign w:val="bottom"/>
          </w:tcPr>
          <w:p w14:paraId="71849216" w14:textId="0E157DCA" w:rsidR="0016231C"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w:t>
            </w:r>
          </w:p>
        </w:tc>
      </w:tr>
      <w:tr w:rsidR="0016231C" w:rsidRPr="00F35510" w14:paraId="68057127" w14:textId="77777777" w:rsidTr="00CF1DC5">
        <w:trPr>
          <w:trHeight w:val="263"/>
        </w:trPr>
        <w:tc>
          <w:tcPr>
            <w:tcW w:w="4820" w:type="dxa"/>
            <w:vAlign w:val="bottom"/>
          </w:tcPr>
          <w:p w14:paraId="47C46076"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Trade and other payables</w:t>
            </w:r>
          </w:p>
        </w:tc>
        <w:tc>
          <w:tcPr>
            <w:tcW w:w="628" w:type="dxa"/>
            <w:vAlign w:val="bottom"/>
          </w:tcPr>
          <w:p w14:paraId="53B56196"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vAlign w:val="bottom"/>
          </w:tcPr>
          <w:p w14:paraId="706DA5B6" w14:textId="42D40F1F" w:rsidR="0016231C" w:rsidRPr="00F35510" w:rsidRDefault="00C949D7" w:rsidP="0016231C">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495,</w:t>
            </w:r>
            <w:r w:rsidR="00013833" w:rsidRPr="00F35510">
              <w:rPr>
                <w:rFonts w:ascii="Arial" w:hAnsi="Arial" w:cs="Arial"/>
                <w:sz w:val="18"/>
                <w:szCs w:val="18"/>
              </w:rPr>
              <w:t>091</w:t>
            </w:r>
          </w:p>
        </w:tc>
        <w:tc>
          <w:tcPr>
            <w:tcW w:w="1548" w:type="dxa"/>
            <w:vAlign w:val="bottom"/>
          </w:tcPr>
          <w:p w14:paraId="397B1860" w14:textId="4743B6CF"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1,113,498</w:t>
            </w:r>
          </w:p>
        </w:tc>
        <w:tc>
          <w:tcPr>
            <w:tcW w:w="1541" w:type="dxa"/>
            <w:vAlign w:val="bottom"/>
          </w:tcPr>
          <w:p w14:paraId="4262EC06" w14:textId="09494C07" w:rsidR="0016231C"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630,833</w:t>
            </w:r>
          </w:p>
        </w:tc>
      </w:tr>
      <w:tr w:rsidR="0016231C" w:rsidRPr="00F35510" w14:paraId="7CF85E69" w14:textId="77777777" w:rsidTr="00CF1DC5">
        <w:trPr>
          <w:trHeight w:val="395"/>
        </w:trPr>
        <w:tc>
          <w:tcPr>
            <w:tcW w:w="4820" w:type="dxa"/>
            <w:tcBorders>
              <w:top w:val="single" w:sz="4" w:space="0" w:color="auto"/>
              <w:bottom w:val="single" w:sz="4" w:space="0" w:color="auto"/>
            </w:tcBorders>
            <w:vAlign w:val="bottom"/>
          </w:tcPr>
          <w:p w14:paraId="33D2D03E"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p>
        </w:tc>
        <w:tc>
          <w:tcPr>
            <w:tcW w:w="628" w:type="dxa"/>
            <w:tcBorders>
              <w:top w:val="single" w:sz="4" w:space="0" w:color="auto"/>
              <w:bottom w:val="single" w:sz="4" w:space="0" w:color="auto"/>
            </w:tcBorders>
            <w:vAlign w:val="bottom"/>
          </w:tcPr>
          <w:p w14:paraId="398BA3A7"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3D12224C" w14:textId="5C54FCE4" w:rsidR="0016231C" w:rsidRPr="00F35510" w:rsidRDefault="00C949D7" w:rsidP="0016231C">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495,</w:t>
            </w:r>
            <w:r w:rsidR="00013833" w:rsidRPr="00F35510">
              <w:rPr>
                <w:rFonts w:ascii="Arial" w:hAnsi="Arial" w:cs="Arial"/>
                <w:b/>
                <w:bCs/>
                <w:sz w:val="18"/>
                <w:szCs w:val="18"/>
              </w:rPr>
              <w:t>091</w:t>
            </w:r>
          </w:p>
        </w:tc>
        <w:tc>
          <w:tcPr>
            <w:tcW w:w="1548" w:type="dxa"/>
            <w:tcBorders>
              <w:top w:val="single" w:sz="4" w:space="0" w:color="auto"/>
              <w:bottom w:val="single" w:sz="4" w:space="0" w:color="auto"/>
            </w:tcBorders>
            <w:vAlign w:val="bottom"/>
          </w:tcPr>
          <w:p w14:paraId="7BBA9546" w14:textId="6E9B2A23"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bCs/>
                <w:sz w:val="18"/>
                <w:szCs w:val="18"/>
              </w:rPr>
              <w:t>1,134,394</w:t>
            </w:r>
          </w:p>
        </w:tc>
        <w:tc>
          <w:tcPr>
            <w:tcW w:w="1541" w:type="dxa"/>
            <w:tcBorders>
              <w:top w:val="single" w:sz="4" w:space="0" w:color="auto"/>
              <w:bottom w:val="single" w:sz="4" w:space="0" w:color="auto"/>
            </w:tcBorders>
            <w:vAlign w:val="bottom"/>
          </w:tcPr>
          <w:p w14:paraId="3FFD8C33" w14:textId="1814DC62" w:rsidR="0016231C"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630,833</w:t>
            </w:r>
          </w:p>
        </w:tc>
      </w:tr>
      <w:tr w:rsidR="0016231C" w:rsidRPr="00F35510" w14:paraId="7AB6C3C3" w14:textId="77777777" w:rsidTr="00CF1DC5">
        <w:trPr>
          <w:trHeight w:val="383"/>
        </w:trPr>
        <w:tc>
          <w:tcPr>
            <w:tcW w:w="4820" w:type="dxa"/>
            <w:tcBorders>
              <w:bottom w:val="single" w:sz="4" w:space="0" w:color="auto"/>
            </w:tcBorders>
            <w:vAlign w:val="bottom"/>
          </w:tcPr>
          <w:p w14:paraId="5F4AD2D6"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F35510">
              <w:rPr>
                <w:rFonts w:ascii="Arial" w:hAnsi="Arial" w:cs="Arial"/>
                <w:b/>
                <w:sz w:val="18"/>
                <w:szCs w:val="18"/>
              </w:rPr>
              <w:t>Total liabilities</w:t>
            </w:r>
          </w:p>
        </w:tc>
        <w:tc>
          <w:tcPr>
            <w:tcW w:w="628" w:type="dxa"/>
            <w:tcBorders>
              <w:bottom w:val="single" w:sz="4" w:space="0" w:color="auto"/>
            </w:tcBorders>
            <w:vAlign w:val="bottom"/>
          </w:tcPr>
          <w:p w14:paraId="54873CC6"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bottom w:val="single" w:sz="4" w:space="0" w:color="auto"/>
            </w:tcBorders>
            <w:vAlign w:val="bottom"/>
          </w:tcPr>
          <w:p w14:paraId="63335A62" w14:textId="43768E7F" w:rsidR="0016231C" w:rsidRPr="00F35510" w:rsidRDefault="00C949D7" w:rsidP="0016231C">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991,</w:t>
            </w:r>
            <w:r w:rsidR="00F35510" w:rsidRPr="00F35510">
              <w:rPr>
                <w:rFonts w:ascii="Arial" w:hAnsi="Arial" w:cs="Arial"/>
                <w:b/>
                <w:bCs/>
                <w:sz w:val="18"/>
                <w:szCs w:val="18"/>
              </w:rPr>
              <w:t>136</w:t>
            </w:r>
          </w:p>
        </w:tc>
        <w:tc>
          <w:tcPr>
            <w:tcW w:w="1548" w:type="dxa"/>
            <w:tcBorders>
              <w:bottom w:val="single" w:sz="4" w:space="0" w:color="auto"/>
            </w:tcBorders>
            <w:vAlign w:val="bottom"/>
          </w:tcPr>
          <w:p w14:paraId="441F555E" w14:textId="6B274A30" w:rsidR="0016231C" w:rsidRPr="00F35510" w:rsidDel="000B718A"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bCs/>
                <w:sz w:val="18"/>
                <w:szCs w:val="18"/>
              </w:rPr>
              <w:t>1,630,439</w:t>
            </w:r>
          </w:p>
        </w:tc>
        <w:tc>
          <w:tcPr>
            <w:tcW w:w="1541" w:type="dxa"/>
            <w:tcBorders>
              <w:bottom w:val="single" w:sz="4" w:space="0" w:color="auto"/>
            </w:tcBorders>
            <w:vAlign w:val="bottom"/>
          </w:tcPr>
          <w:p w14:paraId="011AC2FB" w14:textId="7A50239A" w:rsidR="0016231C"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1,126,878</w:t>
            </w:r>
          </w:p>
        </w:tc>
      </w:tr>
      <w:tr w:rsidR="0016231C" w:rsidRPr="00F35510" w14:paraId="66E21BA9" w14:textId="77777777" w:rsidTr="00CF1DC5">
        <w:trPr>
          <w:trHeight w:val="395"/>
        </w:trPr>
        <w:tc>
          <w:tcPr>
            <w:tcW w:w="4820" w:type="dxa"/>
            <w:tcBorders>
              <w:top w:val="single" w:sz="4" w:space="0" w:color="auto"/>
              <w:bottom w:val="single" w:sz="4" w:space="0" w:color="auto"/>
            </w:tcBorders>
            <w:vAlign w:val="bottom"/>
          </w:tcPr>
          <w:p w14:paraId="508112F7"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F35510">
              <w:rPr>
                <w:rFonts w:ascii="Arial" w:hAnsi="Arial" w:cs="Arial"/>
                <w:b/>
                <w:sz w:val="18"/>
                <w:szCs w:val="18"/>
              </w:rPr>
              <w:t>Net assets</w:t>
            </w:r>
          </w:p>
        </w:tc>
        <w:tc>
          <w:tcPr>
            <w:tcW w:w="628" w:type="dxa"/>
            <w:tcBorders>
              <w:top w:val="single" w:sz="4" w:space="0" w:color="auto"/>
              <w:bottom w:val="single" w:sz="4" w:space="0" w:color="auto"/>
            </w:tcBorders>
            <w:vAlign w:val="bottom"/>
          </w:tcPr>
          <w:p w14:paraId="02C16E2B" w14:textId="77777777" w:rsidR="0016231C" w:rsidRPr="00F35510" w:rsidRDefault="0016231C" w:rsidP="0016231C">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51AC1254" w14:textId="29CF9110" w:rsidR="0016231C" w:rsidRPr="00F35510" w:rsidRDefault="00013833" w:rsidP="0016231C">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51151D">
              <w:rPr>
                <w:rFonts w:ascii="Arial" w:hAnsi="Arial" w:cs="Arial"/>
                <w:b/>
                <w:bCs/>
                <w:sz w:val="18"/>
                <w:szCs w:val="18"/>
              </w:rPr>
              <w:t>35,667,099</w:t>
            </w:r>
          </w:p>
        </w:tc>
        <w:tc>
          <w:tcPr>
            <w:tcW w:w="1548" w:type="dxa"/>
            <w:tcBorders>
              <w:top w:val="single" w:sz="4" w:space="0" w:color="auto"/>
              <w:bottom w:val="single" w:sz="4" w:space="0" w:color="auto"/>
            </w:tcBorders>
            <w:vAlign w:val="bottom"/>
          </w:tcPr>
          <w:p w14:paraId="51480EE3" w14:textId="16E70AC4" w:rsidR="0016231C" w:rsidRPr="00F35510" w:rsidRDefault="0016231C" w:rsidP="0030544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F35510">
              <w:rPr>
                <w:rFonts w:ascii="Arial" w:hAnsi="Arial" w:cs="Arial"/>
                <w:b/>
                <w:bCs/>
                <w:sz w:val="18"/>
                <w:szCs w:val="18"/>
              </w:rPr>
              <w:t>33,381,636</w:t>
            </w:r>
          </w:p>
        </w:tc>
        <w:tc>
          <w:tcPr>
            <w:tcW w:w="1541" w:type="dxa"/>
            <w:tcBorders>
              <w:top w:val="single" w:sz="4" w:space="0" w:color="auto"/>
              <w:bottom w:val="single" w:sz="4" w:space="0" w:color="auto"/>
            </w:tcBorders>
            <w:vAlign w:val="bottom"/>
          </w:tcPr>
          <w:p w14:paraId="546FFA4C" w14:textId="31021C39" w:rsidR="0016231C"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31,528,791</w:t>
            </w:r>
          </w:p>
        </w:tc>
      </w:tr>
      <w:tr w:rsidR="0016231C" w:rsidRPr="00F35510" w14:paraId="00075996" w14:textId="77777777" w:rsidTr="00CF1DC5">
        <w:trPr>
          <w:trHeight w:val="598"/>
        </w:trPr>
        <w:tc>
          <w:tcPr>
            <w:tcW w:w="4820" w:type="dxa"/>
            <w:tcBorders>
              <w:top w:val="single" w:sz="4" w:space="0" w:color="auto"/>
            </w:tcBorders>
            <w:vAlign w:val="bottom"/>
          </w:tcPr>
          <w:p w14:paraId="0B4C0B5F" w14:textId="77777777" w:rsidR="0016231C" w:rsidRPr="00F35510" w:rsidRDefault="0016231C" w:rsidP="0016231C">
            <w:pPr>
              <w:tabs>
                <w:tab w:val="decimal" w:pos="4723"/>
                <w:tab w:val="decimal" w:pos="6019"/>
                <w:tab w:val="decimal" w:pos="7315"/>
                <w:tab w:val="decimal" w:pos="8611"/>
                <w:tab w:val="decimal" w:pos="9878"/>
              </w:tabs>
              <w:suppressAutoHyphens/>
              <w:rPr>
                <w:rFonts w:ascii="Arial" w:hAnsi="Arial" w:cs="Arial"/>
                <w:b/>
                <w:sz w:val="18"/>
                <w:szCs w:val="18"/>
              </w:rPr>
            </w:pPr>
            <w:r w:rsidRPr="00F35510">
              <w:rPr>
                <w:rFonts w:ascii="Arial" w:hAnsi="Arial" w:cs="Arial"/>
                <w:b/>
                <w:sz w:val="18"/>
                <w:szCs w:val="18"/>
              </w:rPr>
              <w:t>Capital and reserves attributable to</w:t>
            </w:r>
          </w:p>
          <w:p w14:paraId="7F5D0157" w14:textId="77777777" w:rsidR="0016231C" w:rsidRPr="00F35510" w:rsidRDefault="0016231C" w:rsidP="0016231C">
            <w:pPr>
              <w:tabs>
                <w:tab w:val="decimal" w:pos="4723"/>
                <w:tab w:val="decimal" w:pos="6019"/>
                <w:tab w:val="decimal" w:pos="7315"/>
                <w:tab w:val="decimal" w:pos="8611"/>
                <w:tab w:val="decimal" w:pos="9878"/>
              </w:tabs>
              <w:suppressAutoHyphens/>
              <w:rPr>
                <w:rFonts w:ascii="Arial" w:hAnsi="Arial" w:cs="Arial"/>
                <w:sz w:val="18"/>
                <w:szCs w:val="18"/>
              </w:rPr>
            </w:pPr>
            <w:r w:rsidRPr="00F35510">
              <w:rPr>
                <w:rFonts w:ascii="Arial" w:hAnsi="Arial" w:cs="Arial"/>
                <w:b/>
                <w:sz w:val="18"/>
                <w:szCs w:val="18"/>
              </w:rPr>
              <w:t>equity holders of the Company</w:t>
            </w:r>
          </w:p>
        </w:tc>
        <w:tc>
          <w:tcPr>
            <w:tcW w:w="628" w:type="dxa"/>
            <w:tcBorders>
              <w:top w:val="single" w:sz="4" w:space="0" w:color="auto"/>
            </w:tcBorders>
            <w:vAlign w:val="bottom"/>
          </w:tcPr>
          <w:p w14:paraId="2E0971E6" w14:textId="77777777" w:rsidR="0016231C" w:rsidRPr="00F35510" w:rsidRDefault="0016231C" w:rsidP="0016231C">
            <w:pPr>
              <w:tabs>
                <w:tab w:val="decimal" w:pos="4723"/>
                <w:tab w:val="decimal" w:pos="6019"/>
                <w:tab w:val="decimal" w:pos="7315"/>
                <w:tab w:val="decimal" w:pos="8611"/>
                <w:tab w:val="decimal" w:pos="9878"/>
              </w:tabs>
              <w:suppressAutoHyphens/>
              <w:ind w:right="-411"/>
              <w:rPr>
                <w:rFonts w:ascii="Arial" w:hAnsi="Arial" w:cs="Arial"/>
                <w:sz w:val="18"/>
                <w:szCs w:val="18"/>
              </w:rPr>
            </w:pPr>
          </w:p>
        </w:tc>
        <w:tc>
          <w:tcPr>
            <w:tcW w:w="1356" w:type="dxa"/>
            <w:tcBorders>
              <w:top w:val="single" w:sz="4" w:space="0" w:color="auto"/>
            </w:tcBorders>
            <w:vAlign w:val="bottom"/>
          </w:tcPr>
          <w:p w14:paraId="3B6351CE" w14:textId="77777777" w:rsidR="0016231C" w:rsidRPr="00F35510" w:rsidRDefault="0016231C" w:rsidP="0016231C">
            <w:pPr>
              <w:tabs>
                <w:tab w:val="decimal" w:pos="4723"/>
                <w:tab w:val="decimal" w:pos="6019"/>
                <w:tab w:val="decimal" w:pos="7315"/>
                <w:tab w:val="decimal" w:pos="8611"/>
                <w:tab w:val="decimal" w:pos="9878"/>
              </w:tabs>
              <w:suppressAutoHyphens/>
              <w:jc w:val="right"/>
              <w:rPr>
                <w:rFonts w:ascii="Arial" w:hAnsi="Arial" w:cs="Arial"/>
                <w:sz w:val="18"/>
                <w:szCs w:val="18"/>
              </w:rPr>
            </w:pPr>
          </w:p>
        </w:tc>
        <w:tc>
          <w:tcPr>
            <w:tcW w:w="1548" w:type="dxa"/>
            <w:tcBorders>
              <w:top w:val="single" w:sz="4" w:space="0" w:color="auto"/>
            </w:tcBorders>
            <w:vAlign w:val="bottom"/>
          </w:tcPr>
          <w:p w14:paraId="6C463016" w14:textId="77777777" w:rsidR="0016231C" w:rsidRPr="00F35510" w:rsidRDefault="0016231C" w:rsidP="00305444">
            <w:pPr>
              <w:tabs>
                <w:tab w:val="decimal" w:pos="4723"/>
                <w:tab w:val="decimal" w:pos="6019"/>
                <w:tab w:val="decimal" w:pos="7315"/>
                <w:tab w:val="decimal" w:pos="8611"/>
                <w:tab w:val="decimal" w:pos="9878"/>
              </w:tabs>
              <w:suppressAutoHyphens/>
              <w:jc w:val="right"/>
              <w:rPr>
                <w:rFonts w:ascii="Arial" w:hAnsi="Arial" w:cs="Arial"/>
                <w:b/>
                <w:sz w:val="18"/>
                <w:szCs w:val="18"/>
              </w:rPr>
            </w:pPr>
          </w:p>
        </w:tc>
        <w:tc>
          <w:tcPr>
            <w:tcW w:w="1541" w:type="dxa"/>
            <w:tcBorders>
              <w:top w:val="single" w:sz="4" w:space="0" w:color="auto"/>
            </w:tcBorders>
            <w:vAlign w:val="bottom"/>
          </w:tcPr>
          <w:p w14:paraId="5BAFBD8B" w14:textId="77777777" w:rsidR="0016231C" w:rsidRPr="00F35510" w:rsidRDefault="0016231C" w:rsidP="00305444">
            <w:pPr>
              <w:tabs>
                <w:tab w:val="decimal" w:pos="4723"/>
                <w:tab w:val="decimal" w:pos="6019"/>
                <w:tab w:val="decimal" w:pos="7315"/>
                <w:tab w:val="decimal" w:pos="8611"/>
                <w:tab w:val="decimal" w:pos="9878"/>
              </w:tabs>
              <w:suppressAutoHyphens/>
              <w:jc w:val="right"/>
              <w:rPr>
                <w:rFonts w:ascii="Arial" w:hAnsi="Arial" w:cs="Arial"/>
                <w:sz w:val="18"/>
                <w:szCs w:val="18"/>
              </w:rPr>
            </w:pPr>
          </w:p>
        </w:tc>
      </w:tr>
      <w:tr w:rsidR="00305444" w:rsidRPr="00F35510" w14:paraId="4FE0D90D" w14:textId="77777777" w:rsidTr="00CF1DC5">
        <w:trPr>
          <w:trHeight w:val="100"/>
        </w:trPr>
        <w:tc>
          <w:tcPr>
            <w:tcW w:w="4820" w:type="dxa"/>
            <w:vAlign w:val="bottom"/>
          </w:tcPr>
          <w:p w14:paraId="35048C09"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F35510">
              <w:rPr>
                <w:rFonts w:ascii="Arial" w:hAnsi="Arial" w:cs="Arial"/>
                <w:sz w:val="18"/>
                <w:szCs w:val="18"/>
              </w:rPr>
              <w:t>Share capital</w:t>
            </w:r>
          </w:p>
        </w:tc>
        <w:tc>
          <w:tcPr>
            <w:tcW w:w="628" w:type="dxa"/>
            <w:vAlign w:val="bottom"/>
          </w:tcPr>
          <w:p w14:paraId="0A7D061F"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vAlign w:val="bottom"/>
          </w:tcPr>
          <w:p w14:paraId="796093FF" w14:textId="39017AE4"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7,492,04</w:t>
            </w:r>
            <w:r w:rsidR="00AA2FD1" w:rsidRPr="00F35510">
              <w:rPr>
                <w:rFonts w:ascii="Arial" w:hAnsi="Arial" w:cs="Arial"/>
                <w:sz w:val="18"/>
                <w:szCs w:val="18"/>
              </w:rPr>
              <w:t>2</w:t>
            </w:r>
          </w:p>
        </w:tc>
        <w:tc>
          <w:tcPr>
            <w:tcW w:w="1548" w:type="dxa"/>
            <w:vAlign w:val="bottom"/>
          </w:tcPr>
          <w:p w14:paraId="091A9B72" w14:textId="42244403"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7,484,232</w:t>
            </w:r>
          </w:p>
        </w:tc>
        <w:tc>
          <w:tcPr>
            <w:tcW w:w="1541" w:type="dxa"/>
            <w:vAlign w:val="bottom"/>
          </w:tcPr>
          <w:p w14:paraId="5CCA16FD" w14:textId="08D461E9"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7,484,355</w:t>
            </w:r>
          </w:p>
        </w:tc>
      </w:tr>
      <w:tr w:rsidR="00305444" w:rsidRPr="00F35510" w14:paraId="45276408" w14:textId="77777777" w:rsidTr="00CF1DC5">
        <w:trPr>
          <w:trHeight w:val="274"/>
        </w:trPr>
        <w:tc>
          <w:tcPr>
            <w:tcW w:w="4820" w:type="dxa"/>
            <w:vAlign w:val="bottom"/>
          </w:tcPr>
          <w:p w14:paraId="7FF3AC33" w14:textId="77777777" w:rsidR="00305444" w:rsidRPr="00F35510" w:rsidRDefault="00305444" w:rsidP="00305444">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F35510">
              <w:rPr>
                <w:rFonts w:ascii="Arial" w:hAnsi="Arial" w:cs="Arial"/>
                <w:sz w:val="18"/>
                <w:szCs w:val="18"/>
              </w:rPr>
              <w:t>Share premium</w:t>
            </w:r>
          </w:p>
        </w:tc>
        <w:tc>
          <w:tcPr>
            <w:tcW w:w="628" w:type="dxa"/>
            <w:vAlign w:val="bottom"/>
          </w:tcPr>
          <w:p w14:paraId="4222109F" w14:textId="77777777" w:rsidR="00305444" w:rsidRPr="00F35510" w:rsidRDefault="00305444" w:rsidP="00305444">
            <w:pPr>
              <w:tabs>
                <w:tab w:val="decimal" w:pos="4723"/>
                <w:tab w:val="decimal" w:pos="6019"/>
                <w:tab w:val="decimal" w:pos="7315"/>
                <w:tab w:val="decimal" w:pos="8611"/>
                <w:tab w:val="decimal" w:pos="9878"/>
              </w:tabs>
              <w:suppressAutoHyphens/>
              <w:spacing w:after="60"/>
              <w:ind w:right="-411"/>
              <w:rPr>
                <w:rFonts w:ascii="Arial" w:hAnsi="Arial" w:cs="Arial"/>
                <w:sz w:val="18"/>
                <w:szCs w:val="18"/>
              </w:rPr>
            </w:pPr>
          </w:p>
        </w:tc>
        <w:tc>
          <w:tcPr>
            <w:tcW w:w="1356" w:type="dxa"/>
            <w:vAlign w:val="bottom"/>
          </w:tcPr>
          <w:p w14:paraId="2FE47369" w14:textId="56BCDC65" w:rsidR="00305444" w:rsidRPr="00F35510" w:rsidRDefault="00305444" w:rsidP="00305444">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sidRPr="00F35510">
              <w:rPr>
                <w:rFonts w:ascii="Arial" w:hAnsi="Arial" w:cs="Arial"/>
                <w:sz w:val="18"/>
                <w:szCs w:val="18"/>
              </w:rPr>
              <w:t>60,903,</w:t>
            </w:r>
            <w:r w:rsidR="00076F34" w:rsidRPr="00F35510">
              <w:rPr>
                <w:rFonts w:ascii="Arial" w:hAnsi="Arial" w:cs="Arial"/>
                <w:sz w:val="18"/>
                <w:szCs w:val="18"/>
              </w:rPr>
              <w:t>865</w:t>
            </w:r>
          </w:p>
        </w:tc>
        <w:tc>
          <w:tcPr>
            <w:tcW w:w="1548" w:type="dxa"/>
            <w:vAlign w:val="bottom"/>
          </w:tcPr>
          <w:p w14:paraId="6A2C6034" w14:textId="5851B2EB"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55,620,034</w:t>
            </w:r>
          </w:p>
        </w:tc>
        <w:tc>
          <w:tcPr>
            <w:tcW w:w="1541" w:type="dxa"/>
            <w:vAlign w:val="bottom"/>
          </w:tcPr>
          <w:p w14:paraId="43739BA8" w14:textId="265FE3BD" w:rsidR="00305444" w:rsidRPr="00F35510" w:rsidRDefault="00305444" w:rsidP="00CF1DC5">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55,705,882</w:t>
            </w:r>
          </w:p>
        </w:tc>
      </w:tr>
      <w:tr w:rsidR="00305444" w:rsidRPr="00F35510" w14:paraId="150EF084" w14:textId="77777777" w:rsidTr="00CF1DC5">
        <w:trPr>
          <w:trHeight w:val="274"/>
        </w:trPr>
        <w:tc>
          <w:tcPr>
            <w:tcW w:w="4820" w:type="dxa"/>
            <w:vAlign w:val="bottom"/>
          </w:tcPr>
          <w:p w14:paraId="1335653E" w14:textId="77777777" w:rsidR="00305444" w:rsidRPr="00F35510" w:rsidRDefault="00305444" w:rsidP="00305444">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F35510">
              <w:rPr>
                <w:rFonts w:ascii="Arial" w:hAnsi="Arial" w:cs="Arial"/>
                <w:sz w:val="18"/>
                <w:szCs w:val="18"/>
              </w:rPr>
              <w:t>Other reserves</w:t>
            </w:r>
          </w:p>
        </w:tc>
        <w:tc>
          <w:tcPr>
            <w:tcW w:w="628" w:type="dxa"/>
            <w:vAlign w:val="bottom"/>
          </w:tcPr>
          <w:p w14:paraId="0279C94E" w14:textId="77777777" w:rsidR="00305444" w:rsidRPr="00F35510" w:rsidRDefault="00305444" w:rsidP="00305444">
            <w:pPr>
              <w:tabs>
                <w:tab w:val="decimal" w:pos="4723"/>
                <w:tab w:val="decimal" w:pos="6019"/>
                <w:tab w:val="decimal" w:pos="7315"/>
                <w:tab w:val="decimal" w:pos="8611"/>
                <w:tab w:val="decimal" w:pos="9878"/>
              </w:tabs>
              <w:suppressAutoHyphens/>
              <w:spacing w:after="60"/>
              <w:ind w:right="-411"/>
              <w:rPr>
                <w:rFonts w:ascii="Arial" w:hAnsi="Arial" w:cs="Arial"/>
                <w:sz w:val="18"/>
                <w:szCs w:val="18"/>
              </w:rPr>
            </w:pPr>
          </w:p>
        </w:tc>
        <w:tc>
          <w:tcPr>
            <w:tcW w:w="1356" w:type="dxa"/>
            <w:vAlign w:val="bottom"/>
          </w:tcPr>
          <w:p w14:paraId="152C5748" w14:textId="1AFCD19B" w:rsidR="00305444" w:rsidRPr="00F35510" w:rsidRDefault="00305444" w:rsidP="00305444">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sidRPr="00F35510">
              <w:rPr>
                <w:rFonts w:ascii="Arial" w:hAnsi="Arial" w:cs="Arial"/>
                <w:sz w:val="18"/>
                <w:szCs w:val="18"/>
              </w:rPr>
              <w:t>(6,69</w:t>
            </w:r>
            <w:r w:rsidR="00076F34" w:rsidRPr="00F35510">
              <w:rPr>
                <w:rFonts w:ascii="Arial" w:hAnsi="Arial" w:cs="Arial"/>
                <w:sz w:val="18"/>
                <w:szCs w:val="18"/>
              </w:rPr>
              <w:t>1,9</w:t>
            </w:r>
            <w:r w:rsidR="00013833" w:rsidRPr="0051151D">
              <w:rPr>
                <w:rFonts w:ascii="Arial" w:hAnsi="Arial" w:cs="Arial"/>
                <w:sz w:val="18"/>
                <w:szCs w:val="18"/>
              </w:rPr>
              <w:t>57</w:t>
            </w:r>
            <w:r w:rsidRPr="00F35510">
              <w:rPr>
                <w:rFonts w:ascii="Arial" w:hAnsi="Arial" w:cs="Arial"/>
                <w:sz w:val="18"/>
                <w:szCs w:val="18"/>
              </w:rPr>
              <w:t>)</w:t>
            </w:r>
          </w:p>
        </w:tc>
        <w:tc>
          <w:tcPr>
            <w:tcW w:w="1548" w:type="dxa"/>
            <w:vAlign w:val="bottom"/>
          </w:tcPr>
          <w:p w14:paraId="611D237F" w14:textId="7A10E57A"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(6,604,069)</w:t>
            </w:r>
          </w:p>
        </w:tc>
        <w:tc>
          <w:tcPr>
            <w:tcW w:w="1541" w:type="dxa"/>
            <w:vAlign w:val="bottom"/>
          </w:tcPr>
          <w:p w14:paraId="35E7B4C6" w14:textId="38BAF948" w:rsidR="00305444" w:rsidRPr="00F35510" w:rsidRDefault="00305444" w:rsidP="00CF1DC5">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(7,213,274)</w:t>
            </w:r>
          </w:p>
        </w:tc>
      </w:tr>
      <w:tr w:rsidR="00305444" w:rsidRPr="00F35510" w14:paraId="102E8A55" w14:textId="77777777" w:rsidTr="00CF1DC5">
        <w:trPr>
          <w:trHeight w:val="274"/>
        </w:trPr>
        <w:tc>
          <w:tcPr>
            <w:tcW w:w="4820" w:type="dxa"/>
            <w:tcBorders>
              <w:bottom w:val="single" w:sz="4" w:space="0" w:color="auto"/>
            </w:tcBorders>
            <w:vAlign w:val="bottom"/>
          </w:tcPr>
          <w:p w14:paraId="792DB099" w14:textId="77777777" w:rsidR="00305444" w:rsidRPr="00F35510" w:rsidRDefault="00305444" w:rsidP="00305444">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F35510">
              <w:rPr>
                <w:rFonts w:ascii="Arial" w:hAnsi="Arial" w:cs="Arial"/>
                <w:sz w:val="18"/>
                <w:szCs w:val="18"/>
              </w:rPr>
              <w:t>Retained losses</w:t>
            </w:r>
          </w:p>
        </w:tc>
        <w:tc>
          <w:tcPr>
            <w:tcW w:w="628" w:type="dxa"/>
            <w:tcBorders>
              <w:bottom w:val="single" w:sz="4" w:space="0" w:color="auto"/>
            </w:tcBorders>
            <w:vAlign w:val="bottom"/>
          </w:tcPr>
          <w:p w14:paraId="68DCC3B5" w14:textId="77777777" w:rsidR="00305444" w:rsidRPr="00F35510" w:rsidRDefault="00305444" w:rsidP="00305444">
            <w:pPr>
              <w:tabs>
                <w:tab w:val="decimal" w:pos="4723"/>
                <w:tab w:val="decimal" w:pos="6019"/>
                <w:tab w:val="decimal" w:pos="7315"/>
                <w:tab w:val="decimal" w:pos="8611"/>
                <w:tab w:val="decimal" w:pos="9878"/>
              </w:tabs>
              <w:suppressAutoHyphens/>
              <w:spacing w:after="60"/>
              <w:ind w:right="-411"/>
              <w:rPr>
                <w:rFonts w:ascii="Arial" w:hAnsi="Arial" w:cs="Arial"/>
                <w:sz w:val="18"/>
                <w:szCs w:val="18"/>
              </w:rPr>
            </w:pPr>
          </w:p>
        </w:tc>
        <w:tc>
          <w:tcPr>
            <w:tcW w:w="1356" w:type="dxa"/>
            <w:tcBorders>
              <w:bottom w:val="single" w:sz="4" w:space="0" w:color="auto"/>
            </w:tcBorders>
            <w:vAlign w:val="bottom"/>
          </w:tcPr>
          <w:p w14:paraId="784CE6C5" w14:textId="136F5478" w:rsidR="00305444" w:rsidRPr="00F35510" w:rsidRDefault="00305444" w:rsidP="00305444">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sidRPr="00F35510">
              <w:rPr>
                <w:rFonts w:ascii="Arial" w:hAnsi="Arial" w:cs="Arial"/>
                <w:sz w:val="18"/>
                <w:szCs w:val="18"/>
              </w:rPr>
              <w:t>(2</w:t>
            </w:r>
            <w:r w:rsidR="00013833" w:rsidRPr="0051151D">
              <w:rPr>
                <w:rFonts w:ascii="Arial" w:hAnsi="Arial" w:cs="Arial"/>
                <w:sz w:val="18"/>
                <w:szCs w:val="18"/>
              </w:rPr>
              <w:t>6,036,851</w:t>
            </w:r>
            <w:r w:rsidRPr="00F35510">
              <w:rPr>
                <w:rFonts w:ascii="Arial" w:hAnsi="Arial" w:cs="Arial"/>
                <w:sz w:val="18"/>
                <w:szCs w:val="18"/>
              </w:rPr>
              <w:t>)</w:t>
            </w:r>
          </w:p>
        </w:tc>
        <w:tc>
          <w:tcPr>
            <w:tcW w:w="1548" w:type="dxa"/>
            <w:tcBorders>
              <w:bottom w:val="single" w:sz="4" w:space="0" w:color="auto"/>
            </w:tcBorders>
            <w:vAlign w:val="bottom"/>
          </w:tcPr>
          <w:p w14:paraId="393E029C" w14:textId="661F4E86"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(23,118,561)</w:t>
            </w:r>
          </w:p>
        </w:tc>
        <w:tc>
          <w:tcPr>
            <w:tcW w:w="1541" w:type="dxa"/>
            <w:tcBorders>
              <w:bottom w:val="single" w:sz="4" w:space="0" w:color="auto"/>
            </w:tcBorders>
            <w:vAlign w:val="bottom"/>
          </w:tcPr>
          <w:p w14:paraId="1AF6FC02" w14:textId="419733CB" w:rsidR="00305444" w:rsidRPr="00F35510" w:rsidRDefault="00305444" w:rsidP="00CF1DC5">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sidRPr="00F35510">
              <w:rPr>
                <w:rFonts w:ascii="Arial" w:hAnsi="Arial" w:cs="Arial"/>
                <w:sz w:val="18"/>
                <w:szCs w:val="18"/>
              </w:rPr>
              <w:t>(24,448,172)</w:t>
            </w:r>
          </w:p>
        </w:tc>
      </w:tr>
      <w:tr w:rsidR="00305444" w:rsidRPr="00BB3DC8" w14:paraId="54463589" w14:textId="77777777" w:rsidTr="00CF1DC5">
        <w:trPr>
          <w:trHeight w:val="395"/>
        </w:trPr>
        <w:tc>
          <w:tcPr>
            <w:tcW w:w="4820" w:type="dxa"/>
            <w:tcBorders>
              <w:top w:val="single" w:sz="4" w:space="0" w:color="auto"/>
              <w:bottom w:val="single" w:sz="4" w:space="0" w:color="auto"/>
            </w:tcBorders>
            <w:vAlign w:val="bottom"/>
          </w:tcPr>
          <w:p w14:paraId="647D9BCB"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F35510">
              <w:rPr>
                <w:rFonts w:ascii="Arial" w:hAnsi="Arial" w:cs="Arial"/>
                <w:b/>
                <w:sz w:val="18"/>
                <w:szCs w:val="18"/>
              </w:rPr>
              <w:t>Total equity</w:t>
            </w:r>
          </w:p>
        </w:tc>
        <w:tc>
          <w:tcPr>
            <w:tcW w:w="628" w:type="dxa"/>
            <w:tcBorders>
              <w:top w:val="single" w:sz="4" w:space="0" w:color="auto"/>
              <w:bottom w:val="single" w:sz="4" w:space="0" w:color="auto"/>
            </w:tcBorders>
            <w:vAlign w:val="bottom"/>
          </w:tcPr>
          <w:p w14:paraId="41CEAE70" w14:textId="77777777" w:rsidR="00305444" w:rsidRPr="00F35510" w:rsidRDefault="00305444" w:rsidP="00305444">
            <w:pPr>
              <w:tabs>
                <w:tab w:val="decimal" w:pos="4723"/>
                <w:tab w:val="decimal" w:pos="6019"/>
                <w:tab w:val="decimal" w:pos="7315"/>
                <w:tab w:val="decimal" w:pos="8611"/>
                <w:tab w:val="decimal" w:pos="9878"/>
              </w:tabs>
              <w:suppressAutoHyphens/>
              <w:spacing w:before="60" w:after="60"/>
              <w:ind w:right="-411"/>
              <w:rPr>
                <w:rFonts w:ascii="Arial" w:hAnsi="Arial" w:cs="Arial"/>
                <w:sz w:val="18"/>
                <w:szCs w:val="18"/>
              </w:rPr>
            </w:pPr>
          </w:p>
        </w:tc>
        <w:tc>
          <w:tcPr>
            <w:tcW w:w="1356" w:type="dxa"/>
            <w:tcBorders>
              <w:top w:val="single" w:sz="4" w:space="0" w:color="auto"/>
              <w:bottom w:val="single" w:sz="4" w:space="0" w:color="auto"/>
            </w:tcBorders>
            <w:vAlign w:val="bottom"/>
          </w:tcPr>
          <w:p w14:paraId="3106C38C" w14:textId="2398FFD5" w:rsidR="00305444" w:rsidRPr="00F35510" w:rsidRDefault="00013833"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51151D">
              <w:rPr>
                <w:rFonts w:ascii="Arial" w:hAnsi="Arial" w:cs="Arial"/>
                <w:b/>
                <w:bCs/>
                <w:sz w:val="18"/>
                <w:szCs w:val="18"/>
              </w:rPr>
              <w:t>35,667,099</w:t>
            </w:r>
          </w:p>
        </w:tc>
        <w:tc>
          <w:tcPr>
            <w:tcW w:w="1548" w:type="dxa"/>
            <w:tcBorders>
              <w:top w:val="single" w:sz="4" w:space="0" w:color="auto"/>
              <w:bottom w:val="single" w:sz="4" w:space="0" w:color="auto"/>
            </w:tcBorders>
            <w:vAlign w:val="bottom"/>
          </w:tcPr>
          <w:p w14:paraId="6B88A8EC" w14:textId="5712D4F6" w:rsidR="00305444" w:rsidRPr="00F35510"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33,381,636</w:t>
            </w:r>
          </w:p>
        </w:tc>
        <w:tc>
          <w:tcPr>
            <w:tcW w:w="1541" w:type="dxa"/>
            <w:tcBorders>
              <w:top w:val="single" w:sz="4" w:space="0" w:color="auto"/>
              <w:bottom w:val="single" w:sz="4" w:space="0" w:color="auto"/>
            </w:tcBorders>
            <w:vAlign w:val="bottom"/>
          </w:tcPr>
          <w:p w14:paraId="74C5687B" w14:textId="2CDE30F7" w:rsidR="00305444" w:rsidRPr="00CF1DC5" w:rsidRDefault="00305444" w:rsidP="00305444">
            <w:pPr>
              <w:tabs>
                <w:tab w:val="decimal" w:pos="4723"/>
                <w:tab w:val="decimal" w:pos="6019"/>
                <w:tab w:val="decimal" w:pos="7315"/>
                <w:tab w:val="decimal" w:pos="8611"/>
                <w:tab w:val="decimal" w:pos="9878"/>
              </w:tabs>
              <w:suppressAutoHyphens/>
              <w:spacing w:before="60" w:after="60"/>
              <w:jc w:val="right"/>
              <w:rPr>
                <w:rFonts w:ascii="Arial" w:hAnsi="Arial" w:cs="Arial"/>
                <w:b/>
                <w:bCs/>
                <w:sz w:val="18"/>
                <w:szCs w:val="18"/>
              </w:rPr>
            </w:pPr>
            <w:r w:rsidRPr="00F35510">
              <w:rPr>
                <w:rFonts w:ascii="Arial" w:hAnsi="Arial" w:cs="Arial"/>
                <w:b/>
                <w:bCs/>
                <w:sz w:val="18"/>
                <w:szCs w:val="18"/>
              </w:rPr>
              <w:t>31,528,791</w:t>
            </w:r>
          </w:p>
        </w:tc>
      </w:tr>
    </w:tbl>
    <w:p w14:paraId="2480B68B" w14:textId="77777777" w:rsidR="00D52BB7" w:rsidRPr="00BB3DC8" w:rsidRDefault="00D52BB7">
      <w:pPr>
        <w:tabs>
          <w:tab w:val="decimal" w:pos="4723"/>
          <w:tab w:val="decimal" w:pos="6019"/>
          <w:tab w:val="decimal" w:pos="7315"/>
          <w:tab w:val="decimal" w:pos="8611"/>
          <w:tab w:val="decimal" w:pos="9878"/>
        </w:tabs>
        <w:suppressAutoHyphens/>
        <w:jc w:val="both"/>
        <w:rPr>
          <w:rFonts w:ascii="Arial" w:hAnsi="Arial" w:cs="Arial"/>
          <w:b/>
          <w:sz w:val="18"/>
          <w:szCs w:val="18"/>
          <w:highlight w:val="yellow"/>
        </w:rPr>
      </w:pPr>
    </w:p>
    <w:p w14:paraId="78E7A9F1" w14:textId="63093883" w:rsidR="00D52BB7" w:rsidRDefault="00E91A02" w:rsidP="002A3D69">
      <w:pPr>
        <w:tabs>
          <w:tab w:val="right" w:pos="9878"/>
        </w:tabs>
        <w:suppressAutoHyphens/>
        <w:jc w:val="both"/>
        <w:outlineLvl w:val="0"/>
        <w:rPr>
          <w:rFonts w:ascii="Arial" w:hAnsi="Arial" w:cs="Arial"/>
          <w:b/>
          <w:sz w:val="22"/>
          <w:szCs w:val="22"/>
        </w:rPr>
      </w:pPr>
      <w:r w:rsidRPr="00BB3DC8">
        <w:rPr>
          <w:rFonts w:ascii="Arial" w:hAnsi="Arial" w:cs="Arial"/>
          <w:b/>
          <w:sz w:val="22"/>
          <w:szCs w:val="22"/>
        </w:rPr>
        <w:br w:type="page"/>
      </w:r>
      <w:r w:rsidRPr="00BB3DC8">
        <w:rPr>
          <w:rFonts w:ascii="Arial" w:hAnsi="Arial" w:cs="Arial"/>
          <w:b/>
          <w:sz w:val="22"/>
          <w:szCs w:val="22"/>
        </w:rPr>
        <w:lastRenderedPageBreak/>
        <w:t xml:space="preserve"> CONSOLIDATED </w:t>
      </w:r>
      <w:r w:rsidR="00D52BB7" w:rsidRPr="00BB3DC8">
        <w:rPr>
          <w:rFonts w:ascii="Arial" w:hAnsi="Arial" w:cs="Arial"/>
          <w:b/>
          <w:sz w:val="22"/>
          <w:szCs w:val="22"/>
        </w:rPr>
        <w:t>STATEMENT OF CHANGES IN SHAREHOLDERS’ EQUITY</w:t>
      </w:r>
    </w:p>
    <w:p w14:paraId="6A6F6C46" w14:textId="77777777" w:rsidR="00E33BAA" w:rsidRDefault="00E33BAA" w:rsidP="002A3D69">
      <w:pPr>
        <w:tabs>
          <w:tab w:val="right" w:pos="9878"/>
        </w:tabs>
        <w:suppressAutoHyphens/>
        <w:jc w:val="both"/>
        <w:outlineLvl w:val="0"/>
        <w:rPr>
          <w:rFonts w:ascii="Arial" w:hAnsi="Arial" w:cs="Arial"/>
          <w:b/>
          <w:sz w:val="22"/>
          <w:szCs w:val="22"/>
        </w:rPr>
      </w:pPr>
    </w:p>
    <w:tbl>
      <w:tblPr>
        <w:tblW w:w="9925" w:type="dxa"/>
        <w:tblLayout w:type="fixed"/>
        <w:tblLook w:val="00A0" w:firstRow="1" w:lastRow="0" w:firstColumn="1" w:lastColumn="0" w:noHBand="0" w:noVBand="0"/>
      </w:tblPr>
      <w:tblGrid>
        <w:gridCol w:w="2774"/>
        <w:gridCol w:w="836"/>
        <w:gridCol w:w="1195"/>
        <w:gridCol w:w="1332"/>
        <w:gridCol w:w="1317"/>
        <w:gridCol w:w="1210"/>
        <w:gridCol w:w="1261"/>
      </w:tblGrid>
      <w:tr w:rsidR="00EB0736" w:rsidRPr="00EB0736" w14:paraId="5A0E3B20" w14:textId="77777777" w:rsidTr="00496A43">
        <w:trPr>
          <w:trHeight w:val="482"/>
        </w:trPr>
        <w:tc>
          <w:tcPr>
            <w:tcW w:w="2774" w:type="dxa"/>
          </w:tcPr>
          <w:p w14:paraId="4F999EA8"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rPr>
                <w:rFonts w:ascii="Arial" w:hAnsi="Arial" w:cs="Arial"/>
                <w:b/>
                <w:bCs/>
                <w:sz w:val="15"/>
                <w:szCs w:val="15"/>
              </w:rPr>
            </w:pPr>
          </w:p>
        </w:tc>
        <w:tc>
          <w:tcPr>
            <w:tcW w:w="836" w:type="dxa"/>
            <w:vAlign w:val="bottom"/>
          </w:tcPr>
          <w:p w14:paraId="53687C14" w14:textId="77777777" w:rsidR="00EB0736" w:rsidRPr="00EB0736" w:rsidRDefault="00EB0736" w:rsidP="00ED5FFC">
            <w:pPr>
              <w:tabs>
                <w:tab w:val="left" w:pos="537"/>
                <w:tab w:val="left" w:pos="2185"/>
                <w:tab w:val="left" w:pos="2875"/>
                <w:tab w:val="left" w:pos="4485"/>
                <w:tab w:val="decimal" w:pos="4723"/>
                <w:tab w:val="left" w:pos="5405"/>
                <w:tab w:val="decimal" w:pos="6019"/>
                <w:tab w:val="decimal" w:pos="7315"/>
                <w:tab w:val="decimal" w:pos="8611"/>
                <w:tab w:val="decimal" w:pos="9835"/>
              </w:tabs>
              <w:suppressAutoHyphens/>
              <w:spacing w:before="60" w:after="60"/>
              <w:rPr>
                <w:rFonts w:ascii="Arial" w:hAnsi="Arial" w:cs="Arial"/>
                <w:b/>
                <w:sz w:val="15"/>
                <w:szCs w:val="15"/>
              </w:rPr>
            </w:pPr>
          </w:p>
        </w:tc>
        <w:tc>
          <w:tcPr>
            <w:tcW w:w="1195" w:type="dxa"/>
            <w:tcBorders>
              <w:bottom w:val="single" w:sz="4" w:space="0" w:color="auto"/>
            </w:tcBorders>
            <w:vAlign w:val="bottom"/>
          </w:tcPr>
          <w:p w14:paraId="6A6CFE6E"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Share capital</w:t>
            </w:r>
          </w:p>
          <w:p w14:paraId="7269A2C4"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w:t>
            </w:r>
          </w:p>
        </w:tc>
        <w:tc>
          <w:tcPr>
            <w:tcW w:w="1332" w:type="dxa"/>
            <w:tcBorders>
              <w:bottom w:val="single" w:sz="4" w:space="0" w:color="auto"/>
            </w:tcBorders>
            <w:vAlign w:val="bottom"/>
          </w:tcPr>
          <w:p w14:paraId="59962D1E"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Share premium</w:t>
            </w:r>
          </w:p>
          <w:p w14:paraId="714DB1BC"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w:t>
            </w:r>
          </w:p>
        </w:tc>
        <w:tc>
          <w:tcPr>
            <w:tcW w:w="1317" w:type="dxa"/>
            <w:tcBorders>
              <w:bottom w:val="single" w:sz="4" w:space="0" w:color="auto"/>
            </w:tcBorders>
            <w:vAlign w:val="bottom"/>
          </w:tcPr>
          <w:p w14:paraId="4CA87155"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Other reserves</w:t>
            </w:r>
          </w:p>
          <w:p w14:paraId="7510A36A"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w:t>
            </w:r>
          </w:p>
        </w:tc>
        <w:tc>
          <w:tcPr>
            <w:tcW w:w="1210" w:type="dxa"/>
            <w:tcBorders>
              <w:bottom w:val="single" w:sz="4" w:space="0" w:color="auto"/>
            </w:tcBorders>
            <w:vAlign w:val="bottom"/>
          </w:tcPr>
          <w:p w14:paraId="1A5A1C09"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Retained losses</w:t>
            </w:r>
          </w:p>
          <w:p w14:paraId="0DF248EF"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w:t>
            </w:r>
          </w:p>
        </w:tc>
        <w:tc>
          <w:tcPr>
            <w:tcW w:w="1261" w:type="dxa"/>
            <w:tcBorders>
              <w:bottom w:val="single" w:sz="4" w:space="0" w:color="auto"/>
            </w:tcBorders>
            <w:vAlign w:val="bottom"/>
          </w:tcPr>
          <w:p w14:paraId="22E4AD20"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Total</w:t>
            </w:r>
          </w:p>
          <w:p w14:paraId="39D27639" w14:textId="77777777" w:rsidR="00EB0736" w:rsidRPr="00EB0736" w:rsidRDefault="00EB0736" w:rsidP="00ED5FFC">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B0736">
              <w:rPr>
                <w:rFonts w:ascii="Arial" w:hAnsi="Arial" w:cs="Arial"/>
                <w:b/>
                <w:sz w:val="15"/>
                <w:szCs w:val="15"/>
              </w:rPr>
              <w:t>£</w:t>
            </w:r>
          </w:p>
        </w:tc>
      </w:tr>
      <w:tr w:rsidR="00DD12E2" w:rsidRPr="00EB0736" w14:paraId="54B4664C" w14:textId="77777777" w:rsidTr="00373230">
        <w:trPr>
          <w:trHeight w:val="287"/>
        </w:trPr>
        <w:tc>
          <w:tcPr>
            <w:tcW w:w="2774" w:type="dxa"/>
            <w:tcBorders>
              <w:top w:val="single" w:sz="4" w:space="0" w:color="auto"/>
              <w:bottom w:val="single" w:sz="4" w:space="0" w:color="auto"/>
            </w:tcBorders>
            <w:vAlign w:val="center"/>
          </w:tcPr>
          <w:p w14:paraId="6EFF3355" w14:textId="50918FC8"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sz w:val="15"/>
                <w:szCs w:val="15"/>
              </w:rPr>
            </w:pPr>
            <w:r w:rsidRPr="00EB0736">
              <w:rPr>
                <w:rFonts w:ascii="Arial" w:hAnsi="Arial" w:cs="Arial"/>
                <w:b/>
                <w:bCs/>
                <w:sz w:val="15"/>
                <w:szCs w:val="15"/>
              </w:rPr>
              <w:t xml:space="preserve">Balance as </w:t>
            </w:r>
            <w:proofErr w:type="gramStart"/>
            <w:r w:rsidRPr="00EB0736">
              <w:rPr>
                <w:rFonts w:ascii="Arial" w:hAnsi="Arial" w:cs="Arial"/>
                <w:b/>
                <w:bCs/>
                <w:sz w:val="15"/>
                <w:szCs w:val="15"/>
              </w:rPr>
              <w:t>at</w:t>
            </w:r>
            <w:proofErr w:type="gramEnd"/>
            <w:r w:rsidRPr="00EB0736">
              <w:rPr>
                <w:rFonts w:ascii="Arial" w:hAnsi="Arial" w:cs="Arial"/>
                <w:b/>
                <w:bCs/>
                <w:sz w:val="15"/>
                <w:szCs w:val="15"/>
              </w:rPr>
              <w:t xml:space="preserve"> 1 January 20</w:t>
            </w:r>
            <w:r>
              <w:rPr>
                <w:rFonts w:ascii="Arial" w:hAnsi="Arial" w:cs="Arial"/>
                <w:b/>
                <w:bCs/>
                <w:sz w:val="15"/>
                <w:szCs w:val="15"/>
              </w:rPr>
              <w:t>21</w:t>
            </w:r>
          </w:p>
        </w:tc>
        <w:tc>
          <w:tcPr>
            <w:tcW w:w="836" w:type="dxa"/>
            <w:tcBorders>
              <w:top w:val="single" w:sz="4" w:space="0" w:color="auto"/>
              <w:bottom w:val="single" w:sz="4" w:space="0" w:color="auto"/>
            </w:tcBorders>
            <w:vAlign w:val="bottom"/>
          </w:tcPr>
          <w:p w14:paraId="4F61359F" w14:textId="77777777"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outlineLvl w:val="2"/>
              <w:rPr>
                <w:rFonts w:ascii="Arial" w:hAnsi="Arial" w:cs="Arial"/>
                <w:b/>
                <w:sz w:val="15"/>
                <w:szCs w:val="15"/>
              </w:rPr>
            </w:pPr>
          </w:p>
        </w:tc>
        <w:tc>
          <w:tcPr>
            <w:tcW w:w="1195" w:type="dxa"/>
            <w:tcBorders>
              <w:top w:val="single" w:sz="4" w:space="0" w:color="auto"/>
              <w:bottom w:val="single" w:sz="4" w:space="0" w:color="auto"/>
            </w:tcBorders>
            <w:vAlign w:val="center"/>
          </w:tcPr>
          <w:p w14:paraId="5F52E469" w14:textId="7B45DD9E"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outlineLvl w:val="2"/>
              <w:rPr>
                <w:rFonts w:ascii="Arial" w:hAnsi="Arial" w:cs="Arial"/>
                <w:b/>
                <w:sz w:val="15"/>
                <w:szCs w:val="15"/>
              </w:rPr>
            </w:pPr>
            <w:r w:rsidRPr="00E4567E">
              <w:rPr>
                <w:rFonts w:ascii="Arial" w:hAnsi="Arial" w:cs="Arial"/>
                <w:b/>
                <w:sz w:val="15"/>
                <w:szCs w:val="15"/>
              </w:rPr>
              <w:t>7,484,232</w:t>
            </w:r>
          </w:p>
        </w:tc>
        <w:tc>
          <w:tcPr>
            <w:tcW w:w="1332" w:type="dxa"/>
            <w:tcBorders>
              <w:top w:val="single" w:sz="4" w:space="0" w:color="auto"/>
              <w:bottom w:val="single" w:sz="4" w:space="0" w:color="auto"/>
            </w:tcBorders>
            <w:vAlign w:val="center"/>
          </w:tcPr>
          <w:p w14:paraId="0A116D36" w14:textId="4254012A"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outlineLvl w:val="2"/>
              <w:rPr>
                <w:rFonts w:ascii="Arial" w:hAnsi="Arial" w:cs="Arial"/>
                <w:b/>
                <w:sz w:val="15"/>
                <w:szCs w:val="15"/>
              </w:rPr>
            </w:pPr>
            <w:r w:rsidRPr="00E4567E">
              <w:rPr>
                <w:rFonts w:ascii="Arial" w:hAnsi="Arial" w:cs="Arial"/>
                <w:b/>
                <w:sz w:val="15"/>
                <w:szCs w:val="15"/>
              </w:rPr>
              <w:t>55,620,034</w:t>
            </w:r>
          </w:p>
        </w:tc>
        <w:tc>
          <w:tcPr>
            <w:tcW w:w="1317" w:type="dxa"/>
            <w:tcBorders>
              <w:top w:val="single" w:sz="4" w:space="0" w:color="auto"/>
              <w:bottom w:val="single" w:sz="4" w:space="0" w:color="auto"/>
            </w:tcBorders>
            <w:vAlign w:val="center"/>
          </w:tcPr>
          <w:p w14:paraId="599754A8" w14:textId="2BBD9162"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outlineLvl w:val="2"/>
              <w:rPr>
                <w:rFonts w:ascii="Arial" w:hAnsi="Arial" w:cs="Arial"/>
                <w:b/>
                <w:sz w:val="15"/>
                <w:szCs w:val="15"/>
              </w:rPr>
            </w:pPr>
            <w:r w:rsidRPr="00E4567E">
              <w:rPr>
                <w:rFonts w:ascii="Arial" w:hAnsi="Arial" w:cs="Arial"/>
                <w:b/>
                <w:sz w:val="15"/>
                <w:szCs w:val="15"/>
              </w:rPr>
              <w:t>(6,220,719)</w:t>
            </w:r>
          </w:p>
        </w:tc>
        <w:tc>
          <w:tcPr>
            <w:tcW w:w="1210" w:type="dxa"/>
            <w:tcBorders>
              <w:top w:val="single" w:sz="4" w:space="0" w:color="auto"/>
              <w:bottom w:val="single" w:sz="4" w:space="0" w:color="auto"/>
            </w:tcBorders>
            <w:vAlign w:val="center"/>
          </w:tcPr>
          <w:p w14:paraId="1D979909" w14:textId="227F3060"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outlineLvl w:val="2"/>
              <w:rPr>
                <w:rFonts w:ascii="Arial" w:hAnsi="Arial" w:cs="Arial"/>
                <w:b/>
                <w:sz w:val="15"/>
                <w:szCs w:val="15"/>
              </w:rPr>
            </w:pPr>
            <w:r w:rsidRPr="00E4567E">
              <w:rPr>
                <w:rFonts w:ascii="Arial" w:hAnsi="Arial" w:cs="Arial"/>
                <w:b/>
                <w:sz w:val="15"/>
                <w:szCs w:val="15"/>
              </w:rPr>
              <w:t>(21,749,624)</w:t>
            </w:r>
          </w:p>
        </w:tc>
        <w:tc>
          <w:tcPr>
            <w:tcW w:w="1261" w:type="dxa"/>
            <w:tcBorders>
              <w:top w:val="single" w:sz="4" w:space="0" w:color="auto"/>
              <w:bottom w:val="single" w:sz="4" w:space="0" w:color="auto"/>
            </w:tcBorders>
            <w:vAlign w:val="center"/>
          </w:tcPr>
          <w:p w14:paraId="5BD6A63D" w14:textId="3F9B5663"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outlineLvl w:val="2"/>
              <w:rPr>
                <w:rFonts w:ascii="Arial" w:hAnsi="Arial" w:cs="Arial"/>
                <w:b/>
                <w:sz w:val="15"/>
                <w:szCs w:val="15"/>
              </w:rPr>
            </w:pPr>
            <w:r w:rsidRPr="00E4567E">
              <w:rPr>
                <w:rFonts w:ascii="Arial" w:hAnsi="Arial" w:cs="Arial"/>
                <w:b/>
                <w:sz w:val="15"/>
                <w:szCs w:val="15"/>
              </w:rPr>
              <w:t>35,1</w:t>
            </w:r>
            <w:r w:rsidR="000F2B7B">
              <w:rPr>
                <w:rFonts w:ascii="Arial" w:hAnsi="Arial" w:cs="Arial"/>
                <w:b/>
                <w:sz w:val="15"/>
                <w:szCs w:val="15"/>
              </w:rPr>
              <w:t>3</w:t>
            </w:r>
            <w:r w:rsidRPr="00E4567E">
              <w:rPr>
                <w:rFonts w:ascii="Arial" w:hAnsi="Arial" w:cs="Arial"/>
                <w:b/>
                <w:sz w:val="15"/>
                <w:szCs w:val="15"/>
              </w:rPr>
              <w:t>3,923</w:t>
            </w:r>
          </w:p>
        </w:tc>
      </w:tr>
      <w:tr w:rsidR="00DD12E2" w:rsidRPr="00EB0736" w14:paraId="655E9FE5" w14:textId="77777777" w:rsidTr="00EB0736">
        <w:trPr>
          <w:trHeight w:val="287"/>
        </w:trPr>
        <w:tc>
          <w:tcPr>
            <w:tcW w:w="2774" w:type="dxa"/>
            <w:tcBorders>
              <w:top w:val="single" w:sz="4" w:space="0" w:color="auto"/>
              <w:bottom w:val="single" w:sz="4" w:space="0" w:color="auto"/>
            </w:tcBorders>
            <w:vAlign w:val="center"/>
          </w:tcPr>
          <w:p w14:paraId="27C56048"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sz w:val="15"/>
                <w:szCs w:val="15"/>
              </w:rPr>
              <w:t>Loss for the period</w:t>
            </w:r>
          </w:p>
        </w:tc>
        <w:tc>
          <w:tcPr>
            <w:tcW w:w="836" w:type="dxa"/>
            <w:tcBorders>
              <w:top w:val="single" w:sz="4" w:space="0" w:color="auto"/>
              <w:bottom w:val="single" w:sz="4" w:space="0" w:color="auto"/>
            </w:tcBorders>
            <w:vAlign w:val="bottom"/>
          </w:tcPr>
          <w:p w14:paraId="5A0B687F"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bottom w:val="single" w:sz="4" w:space="0" w:color="auto"/>
            </w:tcBorders>
            <w:vAlign w:val="bottom"/>
          </w:tcPr>
          <w:p w14:paraId="02B4AEC6"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B710CB">
              <w:rPr>
                <w:rFonts w:ascii="Arial" w:hAnsi="Arial" w:cs="Arial"/>
                <w:sz w:val="15"/>
                <w:szCs w:val="15"/>
              </w:rPr>
              <w:t>-</w:t>
            </w:r>
          </w:p>
        </w:tc>
        <w:tc>
          <w:tcPr>
            <w:tcW w:w="1332" w:type="dxa"/>
            <w:tcBorders>
              <w:top w:val="single" w:sz="4" w:space="0" w:color="auto"/>
              <w:bottom w:val="single" w:sz="4" w:space="0" w:color="auto"/>
            </w:tcBorders>
            <w:vAlign w:val="bottom"/>
          </w:tcPr>
          <w:p w14:paraId="68A1A537"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B710CB">
              <w:rPr>
                <w:rFonts w:ascii="Arial" w:hAnsi="Arial" w:cs="Arial"/>
                <w:sz w:val="15"/>
                <w:szCs w:val="15"/>
              </w:rPr>
              <w:t>-</w:t>
            </w:r>
          </w:p>
        </w:tc>
        <w:tc>
          <w:tcPr>
            <w:tcW w:w="1317" w:type="dxa"/>
            <w:tcBorders>
              <w:top w:val="single" w:sz="4" w:space="0" w:color="auto"/>
              <w:bottom w:val="single" w:sz="4" w:space="0" w:color="auto"/>
            </w:tcBorders>
            <w:vAlign w:val="bottom"/>
          </w:tcPr>
          <w:p w14:paraId="1C4C0D2C"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D24CB8">
              <w:rPr>
                <w:rFonts w:ascii="Arial" w:hAnsi="Arial" w:cs="Arial"/>
                <w:sz w:val="15"/>
                <w:szCs w:val="15"/>
              </w:rPr>
              <w:t>-</w:t>
            </w:r>
          </w:p>
        </w:tc>
        <w:tc>
          <w:tcPr>
            <w:tcW w:w="1210" w:type="dxa"/>
            <w:tcBorders>
              <w:top w:val="single" w:sz="4" w:space="0" w:color="auto"/>
              <w:bottom w:val="single" w:sz="4" w:space="0" w:color="auto"/>
            </w:tcBorders>
            <w:vAlign w:val="bottom"/>
          </w:tcPr>
          <w:p w14:paraId="2CA20177" w14:textId="45EF3774"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(1,368,937)</w:t>
            </w:r>
          </w:p>
        </w:tc>
        <w:tc>
          <w:tcPr>
            <w:tcW w:w="1261" w:type="dxa"/>
            <w:tcBorders>
              <w:top w:val="single" w:sz="4" w:space="0" w:color="auto"/>
              <w:bottom w:val="single" w:sz="4" w:space="0" w:color="auto"/>
            </w:tcBorders>
            <w:vAlign w:val="bottom"/>
          </w:tcPr>
          <w:p w14:paraId="5E1EF9B6" w14:textId="052F3363"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(1,368,937)</w:t>
            </w:r>
          </w:p>
        </w:tc>
      </w:tr>
      <w:tr w:rsidR="001A5DC7" w:rsidRPr="00EB0736" w14:paraId="1DC37BE6" w14:textId="77777777" w:rsidTr="00EB0736">
        <w:trPr>
          <w:trHeight w:val="444"/>
        </w:trPr>
        <w:tc>
          <w:tcPr>
            <w:tcW w:w="2774" w:type="dxa"/>
            <w:tcBorders>
              <w:top w:val="single" w:sz="4" w:space="0" w:color="auto"/>
            </w:tcBorders>
            <w:vAlign w:val="center"/>
          </w:tcPr>
          <w:p w14:paraId="7A28F9CA"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sz w:val="15"/>
                <w:szCs w:val="15"/>
              </w:rPr>
            </w:pPr>
            <w:r w:rsidRPr="00EB0736">
              <w:rPr>
                <w:rFonts w:ascii="Arial" w:hAnsi="Arial" w:cs="Arial"/>
                <w:b/>
                <w:sz w:val="15"/>
                <w:szCs w:val="15"/>
              </w:rPr>
              <w:t>Other comprehensive income for the year</w:t>
            </w:r>
          </w:p>
        </w:tc>
        <w:tc>
          <w:tcPr>
            <w:tcW w:w="836" w:type="dxa"/>
            <w:tcBorders>
              <w:top w:val="single" w:sz="4" w:space="0" w:color="auto"/>
            </w:tcBorders>
            <w:vAlign w:val="bottom"/>
          </w:tcPr>
          <w:p w14:paraId="1103C647"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tcBorders>
            <w:vAlign w:val="bottom"/>
          </w:tcPr>
          <w:p w14:paraId="58DA4A10" w14:textId="7ED3130F"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332" w:type="dxa"/>
            <w:tcBorders>
              <w:top w:val="single" w:sz="4" w:space="0" w:color="auto"/>
            </w:tcBorders>
            <w:vAlign w:val="bottom"/>
          </w:tcPr>
          <w:p w14:paraId="49583176" w14:textId="028F2C33"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317" w:type="dxa"/>
            <w:tcBorders>
              <w:top w:val="single" w:sz="4" w:space="0" w:color="auto"/>
            </w:tcBorders>
            <w:vAlign w:val="bottom"/>
          </w:tcPr>
          <w:p w14:paraId="576E5A0D" w14:textId="499F5CD8"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210" w:type="dxa"/>
            <w:tcBorders>
              <w:top w:val="single" w:sz="4" w:space="0" w:color="auto"/>
            </w:tcBorders>
            <w:vAlign w:val="bottom"/>
          </w:tcPr>
          <w:p w14:paraId="3F818AED" w14:textId="01B9ACC8"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261" w:type="dxa"/>
            <w:tcBorders>
              <w:top w:val="single" w:sz="4" w:space="0" w:color="auto"/>
            </w:tcBorders>
            <w:vAlign w:val="bottom"/>
          </w:tcPr>
          <w:p w14:paraId="67BB76A5" w14:textId="4B2624C3"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r>
      <w:tr w:rsidR="001A5DC7" w:rsidRPr="00EB0736" w14:paraId="0A77CC72" w14:textId="77777777" w:rsidTr="00EB0736">
        <w:trPr>
          <w:trHeight w:val="247"/>
        </w:trPr>
        <w:tc>
          <w:tcPr>
            <w:tcW w:w="2774" w:type="dxa"/>
            <w:vAlign w:val="center"/>
          </w:tcPr>
          <w:p w14:paraId="6F74E5DE"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b/>
                <w:sz w:val="15"/>
                <w:szCs w:val="15"/>
              </w:rPr>
              <w:t>Items that may be subsequently reclassified to profit or loss</w:t>
            </w:r>
          </w:p>
        </w:tc>
        <w:tc>
          <w:tcPr>
            <w:tcW w:w="836" w:type="dxa"/>
            <w:vAlign w:val="bottom"/>
          </w:tcPr>
          <w:p w14:paraId="72A36224"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vAlign w:val="bottom"/>
          </w:tcPr>
          <w:p w14:paraId="00F8FFE2" w14:textId="115D17D9"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c>
          <w:tcPr>
            <w:tcW w:w="1332" w:type="dxa"/>
            <w:vAlign w:val="bottom"/>
          </w:tcPr>
          <w:p w14:paraId="6B7D3DDE" w14:textId="3B68A37E" w:rsidR="001A5DC7" w:rsidRPr="00EB0736" w:rsidRDefault="001A5DC7"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center"/>
              <w:rPr>
                <w:rFonts w:ascii="Arial" w:hAnsi="Arial" w:cs="Arial"/>
                <w:sz w:val="15"/>
                <w:szCs w:val="15"/>
              </w:rPr>
            </w:pPr>
          </w:p>
        </w:tc>
        <w:tc>
          <w:tcPr>
            <w:tcW w:w="1317" w:type="dxa"/>
            <w:vAlign w:val="bottom"/>
          </w:tcPr>
          <w:p w14:paraId="3EBB5367" w14:textId="3854F370"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p>
        </w:tc>
        <w:tc>
          <w:tcPr>
            <w:tcW w:w="1210" w:type="dxa"/>
            <w:vAlign w:val="bottom"/>
          </w:tcPr>
          <w:p w14:paraId="337B6F0F" w14:textId="2E0BE149"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p>
        </w:tc>
        <w:tc>
          <w:tcPr>
            <w:tcW w:w="1261" w:type="dxa"/>
            <w:vAlign w:val="bottom"/>
          </w:tcPr>
          <w:p w14:paraId="216067B8" w14:textId="18CE7FF2"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r>
      <w:tr w:rsidR="00DD12E2" w:rsidRPr="00EB0736" w14:paraId="07CD6BF6" w14:textId="77777777" w:rsidTr="00EB0736">
        <w:trPr>
          <w:trHeight w:val="247"/>
        </w:trPr>
        <w:tc>
          <w:tcPr>
            <w:tcW w:w="2774" w:type="dxa"/>
            <w:tcBorders>
              <w:top w:val="single" w:sz="4" w:space="0" w:color="auto"/>
            </w:tcBorders>
            <w:vAlign w:val="center"/>
          </w:tcPr>
          <w:p w14:paraId="30EAF9A5"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sz w:val="15"/>
                <w:szCs w:val="15"/>
              </w:rPr>
              <w:t>Currency translation differences</w:t>
            </w:r>
          </w:p>
        </w:tc>
        <w:tc>
          <w:tcPr>
            <w:tcW w:w="836" w:type="dxa"/>
            <w:tcBorders>
              <w:top w:val="single" w:sz="4" w:space="0" w:color="auto"/>
            </w:tcBorders>
            <w:vAlign w:val="bottom"/>
          </w:tcPr>
          <w:p w14:paraId="41780CAD"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tcBorders>
            <w:vAlign w:val="bottom"/>
          </w:tcPr>
          <w:p w14:paraId="358B2B9B"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32" w:type="dxa"/>
            <w:tcBorders>
              <w:top w:val="single" w:sz="4" w:space="0" w:color="auto"/>
            </w:tcBorders>
            <w:vAlign w:val="bottom"/>
          </w:tcPr>
          <w:p w14:paraId="37149C38"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17" w:type="dxa"/>
            <w:tcBorders>
              <w:top w:val="single" w:sz="4" w:space="0" w:color="auto"/>
            </w:tcBorders>
            <w:vAlign w:val="bottom"/>
          </w:tcPr>
          <w:p w14:paraId="2CB9F20D" w14:textId="450F12E6"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(1,039,220)</w:t>
            </w:r>
          </w:p>
        </w:tc>
        <w:tc>
          <w:tcPr>
            <w:tcW w:w="1210" w:type="dxa"/>
            <w:tcBorders>
              <w:top w:val="single" w:sz="4" w:space="0" w:color="auto"/>
            </w:tcBorders>
            <w:vAlign w:val="bottom"/>
          </w:tcPr>
          <w:p w14:paraId="7487B12A"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D24CB8">
              <w:rPr>
                <w:rFonts w:ascii="Arial" w:hAnsi="Arial" w:cs="Arial"/>
                <w:sz w:val="15"/>
                <w:szCs w:val="15"/>
              </w:rPr>
              <w:t>-</w:t>
            </w:r>
          </w:p>
        </w:tc>
        <w:tc>
          <w:tcPr>
            <w:tcW w:w="1261" w:type="dxa"/>
            <w:tcBorders>
              <w:top w:val="single" w:sz="4" w:space="0" w:color="auto"/>
            </w:tcBorders>
            <w:vAlign w:val="bottom"/>
          </w:tcPr>
          <w:p w14:paraId="14A48D4C" w14:textId="6E54CCEE"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Pr>
                <w:rFonts w:ascii="Arial" w:hAnsi="Arial" w:cs="Arial"/>
                <w:sz w:val="15"/>
                <w:szCs w:val="15"/>
              </w:rPr>
              <w:t>(1,039,220)</w:t>
            </w:r>
          </w:p>
        </w:tc>
      </w:tr>
      <w:tr w:rsidR="00DD12E2" w:rsidRPr="00EB0736" w14:paraId="4967B954" w14:textId="77777777" w:rsidTr="00EB0736">
        <w:trPr>
          <w:trHeight w:val="247"/>
        </w:trPr>
        <w:tc>
          <w:tcPr>
            <w:tcW w:w="2774" w:type="dxa"/>
            <w:tcBorders>
              <w:top w:val="single" w:sz="4" w:space="0" w:color="auto"/>
            </w:tcBorders>
            <w:vAlign w:val="center"/>
          </w:tcPr>
          <w:p w14:paraId="6EB37D8D"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b/>
                <w:sz w:val="15"/>
                <w:szCs w:val="15"/>
              </w:rPr>
              <w:t>Total comprehensive income for the year</w:t>
            </w:r>
          </w:p>
        </w:tc>
        <w:tc>
          <w:tcPr>
            <w:tcW w:w="836" w:type="dxa"/>
            <w:tcBorders>
              <w:top w:val="single" w:sz="4" w:space="0" w:color="auto"/>
            </w:tcBorders>
            <w:vAlign w:val="bottom"/>
          </w:tcPr>
          <w:p w14:paraId="76E48B79"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tcBorders>
            <w:vAlign w:val="bottom"/>
          </w:tcPr>
          <w:p w14:paraId="38C78789"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b/>
                <w:sz w:val="15"/>
                <w:szCs w:val="15"/>
              </w:rPr>
              <w:t>-</w:t>
            </w:r>
          </w:p>
        </w:tc>
        <w:tc>
          <w:tcPr>
            <w:tcW w:w="1332" w:type="dxa"/>
            <w:tcBorders>
              <w:top w:val="single" w:sz="4" w:space="0" w:color="auto"/>
            </w:tcBorders>
            <w:vAlign w:val="bottom"/>
          </w:tcPr>
          <w:p w14:paraId="59A75FDF"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b/>
                <w:sz w:val="15"/>
                <w:szCs w:val="15"/>
              </w:rPr>
              <w:t>-</w:t>
            </w:r>
          </w:p>
        </w:tc>
        <w:tc>
          <w:tcPr>
            <w:tcW w:w="1317" w:type="dxa"/>
            <w:tcBorders>
              <w:top w:val="single" w:sz="4" w:space="0" w:color="auto"/>
            </w:tcBorders>
            <w:vAlign w:val="bottom"/>
          </w:tcPr>
          <w:p w14:paraId="0515C455" w14:textId="4646BC53"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Pr>
                <w:rFonts w:ascii="Arial" w:hAnsi="Arial" w:cs="Arial"/>
                <w:b/>
                <w:sz w:val="15"/>
                <w:szCs w:val="15"/>
              </w:rPr>
              <w:t>(1,039,220)</w:t>
            </w:r>
          </w:p>
        </w:tc>
        <w:tc>
          <w:tcPr>
            <w:tcW w:w="1210" w:type="dxa"/>
            <w:tcBorders>
              <w:top w:val="single" w:sz="4" w:space="0" w:color="auto"/>
            </w:tcBorders>
            <w:vAlign w:val="bottom"/>
          </w:tcPr>
          <w:p w14:paraId="2F19ADF2" w14:textId="22B38B5B"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sidRPr="006815AA">
              <w:rPr>
                <w:rFonts w:ascii="Arial" w:hAnsi="Arial" w:cs="Arial"/>
                <w:b/>
                <w:sz w:val="15"/>
                <w:szCs w:val="15"/>
              </w:rPr>
              <w:t>(1,368,93</w:t>
            </w:r>
            <w:r>
              <w:rPr>
                <w:rFonts w:ascii="Arial" w:hAnsi="Arial" w:cs="Arial"/>
                <w:b/>
                <w:sz w:val="15"/>
                <w:szCs w:val="15"/>
              </w:rPr>
              <w:t>7</w:t>
            </w:r>
            <w:r w:rsidRPr="006815AA">
              <w:rPr>
                <w:rFonts w:ascii="Arial" w:hAnsi="Arial" w:cs="Arial"/>
                <w:b/>
                <w:sz w:val="15"/>
                <w:szCs w:val="15"/>
              </w:rPr>
              <w:t>)</w:t>
            </w:r>
          </w:p>
        </w:tc>
        <w:tc>
          <w:tcPr>
            <w:tcW w:w="1261" w:type="dxa"/>
            <w:tcBorders>
              <w:top w:val="single" w:sz="4" w:space="0" w:color="auto"/>
            </w:tcBorders>
            <w:vAlign w:val="bottom"/>
          </w:tcPr>
          <w:p w14:paraId="0732F82E" w14:textId="5CF5D54F"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Pr>
                <w:rFonts w:ascii="Arial" w:hAnsi="Arial" w:cs="Arial"/>
                <w:b/>
                <w:sz w:val="15"/>
                <w:szCs w:val="15"/>
              </w:rPr>
              <w:t>(2,408,157)</w:t>
            </w:r>
          </w:p>
        </w:tc>
      </w:tr>
      <w:tr w:rsidR="000E632A" w:rsidRPr="00EB0736" w14:paraId="4F2044AF" w14:textId="77777777" w:rsidTr="00EB0736">
        <w:trPr>
          <w:trHeight w:val="247"/>
        </w:trPr>
        <w:tc>
          <w:tcPr>
            <w:tcW w:w="2774" w:type="dxa"/>
            <w:tcBorders>
              <w:top w:val="single" w:sz="4" w:space="0" w:color="auto"/>
            </w:tcBorders>
            <w:vAlign w:val="center"/>
          </w:tcPr>
          <w:p w14:paraId="2B3DA355"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Pr>
                <w:rFonts w:ascii="Arial" w:hAnsi="Arial" w:cs="Arial"/>
                <w:sz w:val="15"/>
                <w:szCs w:val="15"/>
              </w:rPr>
              <w:t>Exercise of share options and warrants</w:t>
            </w:r>
          </w:p>
        </w:tc>
        <w:tc>
          <w:tcPr>
            <w:tcW w:w="836" w:type="dxa"/>
            <w:tcBorders>
              <w:top w:val="single" w:sz="4" w:space="0" w:color="auto"/>
            </w:tcBorders>
            <w:vAlign w:val="bottom"/>
          </w:tcPr>
          <w:p w14:paraId="76AFC938"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tcBorders>
            <w:vAlign w:val="bottom"/>
          </w:tcPr>
          <w:p w14:paraId="50C76546"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32" w:type="dxa"/>
            <w:tcBorders>
              <w:top w:val="single" w:sz="4" w:space="0" w:color="auto"/>
            </w:tcBorders>
            <w:vAlign w:val="bottom"/>
          </w:tcPr>
          <w:p w14:paraId="0C85190E"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17" w:type="dxa"/>
            <w:tcBorders>
              <w:top w:val="single" w:sz="4" w:space="0" w:color="auto"/>
            </w:tcBorders>
            <w:vAlign w:val="bottom"/>
          </w:tcPr>
          <w:p w14:paraId="691EF3C4"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D24CB8">
              <w:rPr>
                <w:rFonts w:ascii="Arial" w:hAnsi="Arial" w:cs="Arial"/>
                <w:sz w:val="15"/>
                <w:szCs w:val="15"/>
              </w:rPr>
              <w:t>-</w:t>
            </w:r>
          </w:p>
        </w:tc>
        <w:tc>
          <w:tcPr>
            <w:tcW w:w="1210" w:type="dxa"/>
            <w:tcBorders>
              <w:top w:val="single" w:sz="4" w:space="0" w:color="auto"/>
            </w:tcBorders>
            <w:vAlign w:val="bottom"/>
          </w:tcPr>
          <w:p w14:paraId="637AA38E"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D24CB8">
              <w:rPr>
                <w:rFonts w:ascii="Arial" w:hAnsi="Arial" w:cs="Arial"/>
                <w:sz w:val="15"/>
                <w:szCs w:val="15"/>
              </w:rPr>
              <w:t>-</w:t>
            </w:r>
          </w:p>
        </w:tc>
        <w:tc>
          <w:tcPr>
            <w:tcW w:w="1261" w:type="dxa"/>
            <w:tcBorders>
              <w:top w:val="single" w:sz="4" w:space="0" w:color="auto"/>
            </w:tcBorders>
            <w:vAlign w:val="bottom"/>
          </w:tcPr>
          <w:p w14:paraId="72E17A5D" w14:textId="77777777" w:rsidR="000E632A" w:rsidRPr="00EB0736" w:rsidRDefault="000E632A" w:rsidP="000E632A">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D24CB8">
              <w:rPr>
                <w:rFonts w:ascii="Arial" w:hAnsi="Arial" w:cs="Arial"/>
                <w:sz w:val="15"/>
                <w:szCs w:val="15"/>
              </w:rPr>
              <w:t>-</w:t>
            </w:r>
          </w:p>
        </w:tc>
      </w:tr>
      <w:tr w:rsidR="00DD12E2" w:rsidRPr="00EB0736" w14:paraId="3BB7918D" w14:textId="77777777" w:rsidTr="00EB0736">
        <w:trPr>
          <w:trHeight w:val="227"/>
        </w:trPr>
        <w:tc>
          <w:tcPr>
            <w:tcW w:w="2774" w:type="dxa"/>
            <w:vAlign w:val="center"/>
          </w:tcPr>
          <w:p w14:paraId="23F7D401" w14:textId="5E051AD4"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rPr>
                <w:rFonts w:ascii="Arial" w:hAnsi="Arial" w:cs="Arial"/>
                <w:sz w:val="15"/>
                <w:szCs w:val="15"/>
              </w:rPr>
            </w:pPr>
            <w:r>
              <w:rPr>
                <w:rFonts w:ascii="Arial" w:hAnsi="Arial" w:cs="Arial"/>
                <w:sz w:val="15"/>
                <w:szCs w:val="15"/>
              </w:rPr>
              <w:t>Issue of share options</w:t>
            </w:r>
          </w:p>
        </w:tc>
        <w:tc>
          <w:tcPr>
            <w:tcW w:w="836" w:type="dxa"/>
            <w:vAlign w:val="bottom"/>
          </w:tcPr>
          <w:p w14:paraId="758CE973"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center"/>
              <w:rPr>
                <w:rFonts w:ascii="Arial" w:hAnsi="Arial" w:cs="Arial"/>
                <w:sz w:val="15"/>
                <w:szCs w:val="15"/>
              </w:rPr>
            </w:pPr>
          </w:p>
        </w:tc>
        <w:tc>
          <w:tcPr>
            <w:tcW w:w="1195" w:type="dxa"/>
            <w:vAlign w:val="bottom"/>
          </w:tcPr>
          <w:p w14:paraId="39E4DEBC"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32" w:type="dxa"/>
            <w:vAlign w:val="bottom"/>
          </w:tcPr>
          <w:p w14:paraId="1C4192D0"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B710CB">
              <w:rPr>
                <w:rFonts w:ascii="Arial" w:hAnsi="Arial" w:cs="Arial"/>
                <w:sz w:val="15"/>
                <w:szCs w:val="15"/>
              </w:rPr>
              <w:t>-</w:t>
            </w:r>
          </w:p>
        </w:tc>
        <w:tc>
          <w:tcPr>
            <w:tcW w:w="1317" w:type="dxa"/>
            <w:vAlign w:val="bottom"/>
          </w:tcPr>
          <w:p w14:paraId="1AA9F81A" w14:textId="04E31CC6"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Pr>
                <w:rFonts w:ascii="Arial" w:hAnsi="Arial" w:cs="Arial"/>
                <w:sz w:val="15"/>
                <w:szCs w:val="15"/>
              </w:rPr>
              <w:t>655,870</w:t>
            </w:r>
          </w:p>
        </w:tc>
        <w:tc>
          <w:tcPr>
            <w:tcW w:w="1210" w:type="dxa"/>
            <w:vAlign w:val="bottom"/>
          </w:tcPr>
          <w:p w14:paraId="059FBC50"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D24CB8">
              <w:rPr>
                <w:rFonts w:ascii="Arial" w:hAnsi="Arial" w:cs="Arial"/>
                <w:sz w:val="15"/>
                <w:szCs w:val="15"/>
              </w:rPr>
              <w:t>-</w:t>
            </w:r>
          </w:p>
        </w:tc>
        <w:tc>
          <w:tcPr>
            <w:tcW w:w="1261" w:type="dxa"/>
            <w:vAlign w:val="bottom"/>
          </w:tcPr>
          <w:p w14:paraId="5C080BBF" w14:textId="17D37EAC"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Pr>
                <w:rFonts w:ascii="Arial" w:hAnsi="Arial" w:cs="Arial"/>
                <w:sz w:val="15"/>
                <w:szCs w:val="15"/>
              </w:rPr>
              <w:t>655,870</w:t>
            </w:r>
          </w:p>
        </w:tc>
      </w:tr>
      <w:tr w:rsidR="00DD12E2" w:rsidRPr="00EB0736" w14:paraId="65EC8696" w14:textId="77777777" w:rsidTr="00EB0736">
        <w:trPr>
          <w:trHeight w:val="444"/>
        </w:trPr>
        <w:tc>
          <w:tcPr>
            <w:tcW w:w="2774" w:type="dxa"/>
            <w:tcBorders>
              <w:top w:val="single" w:sz="4" w:space="0" w:color="auto"/>
              <w:bottom w:val="single" w:sz="4" w:space="0" w:color="auto"/>
            </w:tcBorders>
            <w:vAlign w:val="center"/>
          </w:tcPr>
          <w:p w14:paraId="0C57AF09"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b/>
                <w:sz w:val="15"/>
                <w:szCs w:val="15"/>
              </w:rPr>
              <w:t>Total transactions with owners, recognised in equity</w:t>
            </w:r>
          </w:p>
        </w:tc>
        <w:tc>
          <w:tcPr>
            <w:tcW w:w="836" w:type="dxa"/>
            <w:tcBorders>
              <w:top w:val="single" w:sz="4" w:space="0" w:color="auto"/>
              <w:bottom w:val="single" w:sz="4" w:space="0" w:color="auto"/>
            </w:tcBorders>
            <w:vAlign w:val="bottom"/>
          </w:tcPr>
          <w:p w14:paraId="1AE29376"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bottom w:val="single" w:sz="4" w:space="0" w:color="auto"/>
            </w:tcBorders>
            <w:vAlign w:val="bottom"/>
          </w:tcPr>
          <w:p w14:paraId="013FC946"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B710CB">
              <w:rPr>
                <w:rFonts w:ascii="Arial" w:hAnsi="Arial" w:cs="Arial"/>
                <w:b/>
                <w:sz w:val="15"/>
                <w:szCs w:val="15"/>
              </w:rPr>
              <w:t>-</w:t>
            </w:r>
          </w:p>
        </w:tc>
        <w:tc>
          <w:tcPr>
            <w:tcW w:w="1332" w:type="dxa"/>
            <w:tcBorders>
              <w:top w:val="single" w:sz="4" w:space="0" w:color="auto"/>
              <w:bottom w:val="single" w:sz="4" w:space="0" w:color="auto"/>
            </w:tcBorders>
            <w:vAlign w:val="bottom"/>
          </w:tcPr>
          <w:p w14:paraId="071926C6"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B710CB">
              <w:rPr>
                <w:rFonts w:ascii="Arial" w:hAnsi="Arial" w:cs="Arial"/>
                <w:b/>
                <w:sz w:val="15"/>
                <w:szCs w:val="15"/>
              </w:rPr>
              <w:t>-</w:t>
            </w:r>
          </w:p>
        </w:tc>
        <w:tc>
          <w:tcPr>
            <w:tcW w:w="1317" w:type="dxa"/>
            <w:tcBorders>
              <w:top w:val="single" w:sz="4" w:space="0" w:color="auto"/>
              <w:bottom w:val="single" w:sz="4" w:space="0" w:color="auto"/>
            </w:tcBorders>
            <w:vAlign w:val="bottom"/>
          </w:tcPr>
          <w:p w14:paraId="6AF13113" w14:textId="27AF3C71" w:rsidR="00DD12E2" w:rsidRPr="00DD12E2"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bCs/>
                <w:sz w:val="15"/>
                <w:szCs w:val="15"/>
              </w:rPr>
            </w:pPr>
            <w:r w:rsidRPr="005F6D82">
              <w:rPr>
                <w:rFonts w:ascii="Arial" w:hAnsi="Arial" w:cs="Arial"/>
                <w:b/>
                <w:bCs/>
                <w:sz w:val="15"/>
                <w:szCs w:val="15"/>
              </w:rPr>
              <w:t>655,870</w:t>
            </w:r>
          </w:p>
        </w:tc>
        <w:tc>
          <w:tcPr>
            <w:tcW w:w="1210" w:type="dxa"/>
            <w:tcBorders>
              <w:top w:val="single" w:sz="4" w:space="0" w:color="auto"/>
              <w:bottom w:val="single" w:sz="4" w:space="0" w:color="auto"/>
            </w:tcBorders>
            <w:vAlign w:val="bottom"/>
          </w:tcPr>
          <w:p w14:paraId="41F4A59E" w14:textId="08AE781F"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w:t>
            </w:r>
          </w:p>
        </w:tc>
        <w:tc>
          <w:tcPr>
            <w:tcW w:w="1261" w:type="dxa"/>
            <w:tcBorders>
              <w:top w:val="single" w:sz="4" w:space="0" w:color="auto"/>
              <w:bottom w:val="single" w:sz="4" w:space="0" w:color="auto"/>
            </w:tcBorders>
            <w:vAlign w:val="bottom"/>
          </w:tcPr>
          <w:p w14:paraId="61827C6F" w14:textId="2842F22A"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655,870</w:t>
            </w:r>
          </w:p>
        </w:tc>
      </w:tr>
      <w:tr w:rsidR="00DD12E2" w:rsidRPr="00EB0736" w14:paraId="09D2E455" w14:textId="77777777" w:rsidTr="005F6D82">
        <w:trPr>
          <w:trHeight w:val="287"/>
        </w:trPr>
        <w:tc>
          <w:tcPr>
            <w:tcW w:w="2774" w:type="dxa"/>
            <w:tcBorders>
              <w:top w:val="single" w:sz="4" w:space="0" w:color="auto"/>
              <w:bottom w:val="single" w:sz="4" w:space="0" w:color="auto"/>
            </w:tcBorders>
            <w:vAlign w:val="center"/>
          </w:tcPr>
          <w:p w14:paraId="3DF427A5" w14:textId="2B50F1E0"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bCs/>
                <w:sz w:val="15"/>
                <w:szCs w:val="15"/>
              </w:rPr>
            </w:pPr>
            <w:r w:rsidRPr="00EB0736">
              <w:rPr>
                <w:rFonts w:ascii="Arial" w:hAnsi="Arial" w:cs="Arial"/>
                <w:b/>
                <w:bCs/>
                <w:sz w:val="15"/>
                <w:szCs w:val="15"/>
              </w:rPr>
              <w:t xml:space="preserve">Balance as </w:t>
            </w:r>
            <w:proofErr w:type="gramStart"/>
            <w:r w:rsidRPr="00EB0736">
              <w:rPr>
                <w:rFonts w:ascii="Arial" w:hAnsi="Arial" w:cs="Arial"/>
                <w:b/>
                <w:bCs/>
                <w:sz w:val="15"/>
                <w:szCs w:val="15"/>
              </w:rPr>
              <w:t>at</w:t>
            </w:r>
            <w:proofErr w:type="gramEnd"/>
            <w:r w:rsidRPr="00EB0736">
              <w:rPr>
                <w:rFonts w:ascii="Arial" w:hAnsi="Arial" w:cs="Arial"/>
                <w:b/>
                <w:bCs/>
                <w:sz w:val="15"/>
                <w:szCs w:val="15"/>
              </w:rPr>
              <w:t xml:space="preserve"> 30 June 20</w:t>
            </w:r>
            <w:r>
              <w:rPr>
                <w:rFonts w:ascii="Arial" w:hAnsi="Arial" w:cs="Arial"/>
                <w:b/>
                <w:bCs/>
                <w:sz w:val="15"/>
                <w:szCs w:val="15"/>
              </w:rPr>
              <w:t>21</w:t>
            </w:r>
          </w:p>
        </w:tc>
        <w:tc>
          <w:tcPr>
            <w:tcW w:w="836" w:type="dxa"/>
            <w:tcBorders>
              <w:top w:val="single" w:sz="4" w:space="0" w:color="auto"/>
              <w:bottom w:val="single" w:sz="4" w:space="0" w:color="auto"/>
            </w:tcBorders>
            <w:vAlign w:val="bottom"/>
          </w:tcPr>
          <w:p w14:paraId="5AA1C825"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bottom w:val="single" w:sz="4" w:space="0" w:color="auto"/>
            </w:tcBorders>
            <w:vAlign w:val="center"/>
          </w:tcPr>
          <w:p w14:paraId="0B88202A" w14:textId="5B5BF631"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4567E">
              <w:rPr>
                <w:rFonts w:ascii="Arial" w:hAnsi="Arial" w:cs="Arial"/>
                <w:b/>
                <w:sz w:val="15"/>
                <w:szCs w:val="15"/>
              </w:rPr>
              <w:t>7,484,232</w:t>
            </w:r>
          </w:p>
        </w:tc>
        <w:tc>
          <w:tcPr>
            <w:tcW w:w="1332" w:type="dxa"/>
            <w:tcBorders>
              <w:top w:val="single" w:sz="4" w:space="0" w:color="auto"/>
              <w:bottom w:val="single" w:sz="4" w:space="0" w:color="auto"/>
            </w:tcBorders>
            <w:vAlign w:val="center"/>
          </w:tcPr>
          <w:p w14:paraId="0046B43E" w14:textId="72008B24"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E4567E">
              <w:rPr>
                <w:rFonts w:ascii="Arial" w:hAnsi="Arial" w:cs="Arial"/>
                <w:b/>
                <w:sz w:val="15"/>
                <w:szCs w:val="15"/>
              </w:rPr>
              <w:t>55,620,034</w:t>
            </w:r>
          </w:p>
        </w:tc>
        <w:tc>
          <w:tcPr>
            <w:tcW w:w="1317" w:type="dxa"/>
            <w:tcBorders>
              <w:top w:val="single" w:sz="4" w:space="0" w:color="auto"/>
              <w:bottom w:val="single" w:sz="4" w:space="0" w:color="auto"/>
            </w:tcBorders>
            <w:vAlign w:val="bottom"/>
          </w:tcPr>
          <w:p w14:paraId="337D5EDA" w14:textId="19E6E003"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color w:val="000000" w:themeColor="text1"/>
                <w:sz w:val="15"/>
                <w:szCs w:val="15"/>
              </w:rPr>
            </w:pPr>
            <w:r>
              <w:rPr>
                <w:rFonts w:ascii="Arial" w:hAnsi="Arial" w:cs="Arial"/>
                <w:b/>
                <w:color w:val="000000" w:themeColor="text1"/>
                <w:sz w:val="15"/>
                <w:szCs w:val="15"/>
              </w:rPr>
              <w:t>(6,604,069)</w:t>
            </w:r>
          </w:p>
        </w:tc>
        <w:tc>
          <w:tcPr>
            <w:tcW w:w="1210" w:type="dxa"/>
            <w:tcBorders>
              <w:top w:val="single" w:sz="4" w:space="0" w:color="auto"/>
              <w:bottom w:val="single" w:sz="4" w:space="0" w:color="auto"/>
            </w:tcBorders>
            <w:vAlign w:val="bottom"/>
          </w:tcPr>
          <w:p w14:paraId="6BACB11A" w14:textId="492C9759"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color w:val="000000" w:themeColor="text1"/>
                <w:sz w:val="15"/>
                <w:szCs w:val="15"/>
              </w:rPr>
            </w:pPr>
            <w:r>
              <w:rPr>
                <w:rFonts w:ascii="Arial" w:hAnsi="Arial" w:cs="Arial"/>
                <w:b/>
                <w:color w:val="000000" w:themeColor="text1"/>
                <w:sz w:val="15"/>
                <w:szCs w:val="15"/>
              </w:rPr>
              <w:t>(23,118,561)</w:t>
            </w:r>
          </w:p>
        </w:tc>
        <w:tc>
          <w:tcPr>
            <w:tcW w:w="1261" w:type="dxa"/>
            <w:tcBorders>
              <w:top w:val="single" w:sz="4" w:space="0" w:color="auto"/>
              <w:bottom w:val="single" w:sz="4" w:space="0" w:color="auto"/>
            </w:tcBorders>
            <w:vAlign w:val="bottom"/>
          </w:tcPr>
          <w:p w14:paraId="5B132DDA" w14:textId="4EB71D61"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(33,381,636)</w:t>
            </w:r>
          </w:p>
        </w:tc>
      </w:tr>
      <w:tr w:rsidR="00DD12E2" w:rsidRPr="00EB0736" w14:paraId="1602AA03" w14:textId="77777777" w:rsidTr="00EB0736">
        <w:trPr>
          <w:trHeight w:val="275"/>
        </w:trPr>
        <w:tc>
          <w:tcPr>
            <w:tcW w:w="2774" w:type="dxa"/>
            <w:tcBorders>
              <w:top w:val="single" w:sz="4" w:space="0" w:color="auto"/>
            </w:tcBorders>
            <w:vAlign w:val="center"/>
          </w:tcPr>
          <w:p w14:paraId="7A8E4613"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sz w:val="15"/>
                <w:szCs w:val="15"/>
              </w:rPr>
            </w:pPr>
          </w:p>
        </w:tc>
        <w:tc>
          <w:tcPr>
            <w:tcW w:w="836" w:type="dxa"/>
            <w:tcBorders>
              <w:top w:val="single" w:sz="4" w:space="0" w:color="auto"/>
            </w:tcBorders>
            <w:vAlign w:val="bottom"/>
          </w:tcPr>
          <w:p w14:paraId="3F2345C2"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tcBorders>
            <w:vAlign w:val="bottom"/>
          </w:tcPr>
          <w:p w14:paraId="4737EAE2"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highlight w:val="yellow"/>
              </w:rPr>
            </w:pPr>
          </w:p>
        </w:tc>
        <w:tc>
          <w:tcPr>
            <w:tcW w:w="1332" w:type="dxa"/>
            <w:tcBorders>
              <w:top w:val="single" w:sz="4" w:space="0" w:color="auto"/>
            </w:tcBorders>
            <w:vAlign w:val="bottom"/>
          </w:tcPr>
          <w:p w14:paraId="473ABDE9"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highlight w:val="yellow"/>
              </w:rPr>
            </w:pPr>
          </w:p>
        </w:tc>
        <w:tc>
          <w:tcPr>
            <w:tcW w:w="1317" w:type="dxa"/>
            <w:tcBorders>
              <w:top w:val="single" w:sz="4" w:space="0" w:color="auto"/>
            </w:tcBorders>
            <w:vAlign w:val="bottom"/>
          </w:tcPr>
          <w:p w14:paraId="33947D5F"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highlight w:val="yellow"/>
              </w:rPr>
            </w:pPr>
          </w:p>
        </w:tc>
        <w:tc>
          <w:tcPr>
            <w:tcW w:w="1210" w:type="dxa"/>
            <w:tcBorders>
              <w:top w:val="single" w:sz="4" w:space="0" w:color="auto"/>
            </w:tcBorders>
            <w:vAlign w:val="bottom"/>
          </w:tcPr>
          <w:p w14:paraId="629A644D"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highlight w:val="yellow"/>
              </w:rPr>
            </w:pPr>
          </w:p>
        </w:tc>
        <w:tc>
          <w:tcPr>
            <w:tcW w:w="1261" w:type="dxa"/>
            <w:tcBorders>
              <w:top w:val="single" w:sz="4" w:space="0" w:color="auto"/>
            </w:tcBorders>
            <w:vAlign w:val="bottom"/>
          </w:tcPr>
          <w:p w14:paraId="5806C00D"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highlight w:val="yellow"/>
              </w:rPr>
            </w:pPr>
          </w:p>
        </w:tc>
      </w:tr>
      <w:tr w:rsidR="00DD12E2" w:rsidRPr="00EB0736" w14:paraId="3BA51EEB" w14:textId="77777777" w:rsidTr="005F6D82">
        <w:trPr>
          <w:trHeight w:val="287"/>
        </w:trPr>
        <w:tc>
          <w:tcPr>
            <w:tcW w:w="2774" w:type="dxa"/>
            <w:tcBorders>
              <w:top w:val="single" w:sz="4" w:space="0" w:color="auto"/>
              <w:bottom w:val="single" w:sz="4" w:space="0" w:color="auto"/>
            </w:tcBorders>
            <w:vAlign w:val="center"/>
          </w:tcPr>
          <w:p w14:paraId="7F40EF28" w14:textId="61EEE93A"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sz w:val="15"/>
                <w:szCs w:val="15"/>
              </w:rPr>
            </w:pPr>
            <w:r w:rsidRPr="00EB0736">
              <w:rPr>
                <w:rFonts w:ascii="Arial" w:hAnsi="Arial" w:cs="Arial"/>
                <w:b/>
                <w:bCs/>
                <w:sz w:val="15"/>
                <w:szCs w:val="15"/>
              </w:rPr>
              <w:t xml:space="preserve">Balance as </w:t>
            </w:r>
            <w:proofErr w:type="gramStart"/>
            <w:r w:rsidRPr="00EB0736">
              <w:rPr>
                <w:rFonts w:ascii="Arial" w:hAnsi="Arial" w:cs="Arial"/>
                <w:b/>
                <w:bCs/>
                <w:sz w:val="15"/>
                <w:szCs w:val="15"/>
              </w:rPr>
              <w:t>at</w:t>
            </w:r>
            <w:proofErr w:type="gramEnd"/>
            <w:r w:rsidRPr="00EB0736">
              <w:rPr>
                <w:rFonts w:ascii="Arial" w:hAnsi="Arial" w:cs="Arial"/>
                <w:b/>
                <w:bCs/>
                <w:sz w:val="15"/>
                <w:szCs w:val="15"/>
              </w:rPr>
              <w:t xml:space="preserve"> 1 January 20</w:t>
            </w:r>
            <w:r>
              <w:rPr>
                <w:rFonts w:ascii="Arial" w:hAnsi="Arial" w:cs="Arial"/>
                <w:b/>
                <w:bCs/>
                <w:sz w:val="15"/>
                <w:szCs w:val="15"/>
              </w:rPr>
              <w:t>22</w:t>
            </w:r>
          </w:p>
        </w:tc>
        <w:tc>
          <w:tcPr>
            <w:tcW w:w="836" w:type="dxa"/>
            <w:tcBorders>
              <w:top w:val="single" w:sz="4" w:space="0" w:color="auto"/>
              <w:bottom w:val="single" w:sz="4" w:space="0" w:color="auto"/>
            </w:tcBorders>
            <w:vAlign w:val="bottom"/>
          </w:tcPr>
          <w:p w14:paraId="7923C8F7" w14:textId="77777777" w:rsidR="00DD12E2" w:rsidRPr="00EB0736" w:rsidRDefault="00DD12E2" w:rsidP="00DD12E2">
            <w:pPr>
              <w:keepNext/>
              <w:keepLines/>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outlineLvl w:val="2"/>
              <w:rPr>
                <w:rFonts w:ascii="Arial" w:hAnsi="Arial" w:cs="Arial"/>
                <w:b/>
                <w:sz w:val="15"/>
                <w:szCs w:val="15"/>
              </w:rPr>
            </w:pPr>
          </w:p>
        </w:tc>
        <w:tc>
          <w:tcPr>
            <w:tcW w:w="1195" w:type="dxa"/>
            <w:tcBorders>
              <w:top w:val="single" w:sz="4" w:space="0" w:color="auto"/>
              <w:bottom w:val="single" w:sz="4" w:space="0" w:color="auto"/>
            </w:tcBorders>
            <w:vAlign w:val="center"/>
          </w:tcPr>
          <w:p w14:paraId="6CE19A3F" w14:textId="454DDCCC" w:rsidR="00DD12E2" w:rsidRPr="00EB0736" w:rsidRDefault="00E17B00"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7,484,</w:t>
            </w:r>
            <w:r w:rsidR="002B5A4E">
              <w:rPr>
                <w:rFonts w:ascii="Arial" w:hAnsi="Arial" w:cs="Arial"/>
                <w:b/>
                <w:sz w:val="15"/>
                <w:szCs w:val="15"/>
              </w:rPr>
              <w:t>355</w:t>
            </w:r>
          </w:p>
        </w:tc>
        <w:tc>
          <w:tcPr>
            <w:tcW w:w="1332" w:type="dxa"/>
            <w:tcBorders>
              <w:top w:val="single" w:sz="4" w:space="0" w:color="auto"/>
              <w:bottom w:val="single" w:sz="4" w:space="0" w:color="auto"/>
            </w:tcBorders>
            <w:vAlign w:val="center"/>
          </w:tcPr>
          <w:p w14:paraId="25E76018" w14:textId="571C46DD" w:rsidR="00DD12E2" w:rsidRPr="00EB0736" w:rsidRDefault="002B5A4E" w:rsidP="00DD12E2">
            <w:pPr>
              <w:tabs>
                <w:tab w:val="decimal" w:pos="779"/>
                <w:tab w:val="left" w:pos="2185"/>
                <w:tab w:val="left" w:pos="2875"/>
                <w:tab w:val="left" w:pos="4485"/>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55,705,882</w:t>
            </w:r>
          </w:p>
        </w:tc>
        <w:tc>
          <w:tcPr>
            <w:tcW w:w="1317" w:type="dxa"/>
            <w:tcBorders>
              <w:top w:val="single" w:sz="4" w:space="0" w:color="auto"/>
              <w:bottom w:val="single" w:sz="4" w:space="0" w:color="auto"/>
            </w:tcBorders>
            <w:vAlign w:val="bottom"/>
          </w:tcPr>
          <w:p w14:paraId="385E4047" w14:textId="2D4AB034" w:rsidR="00DD12E2" w:rsidRPr="00EB0736"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color w:val="000000" w:themeColor="text1"/>
                <w:sz w:val="15"/>
                <w:szCs w:val="15"/>
              </w:rPr>
              <w:t>(7,213,274)</w:t>
            </w:r>
          </w:p>
        </w:tc>
        <w:tc>
          <w:tcPr>
            <w:tcW w:w="1210" w:type="dxa"/>
            <w:tcBorders>
              <w:top w:val="single" w:sz="4" w:space="0" w:color="auto"/>
              <w:bottom w:val="single" w:sz="4" w:space="0" w:color="auto"/>
            </w:tcBorders>
            <w:vAlign w:val="bottom"/>
          </w:tcPr>
          <w:p w14:paraId="12D4A92E" w14:textId="72D7746F" w:rsidR="00DD12E2" w:rsidRPr="00EB0736"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ind w:right="-29"/>
              <w:jc w:val="right"/>
              <w:rPr>
                <w:rFonts w:ascii="Arial" w:hAnsi="Arial" w:cs="Arial"/>
                <w:b/>
                <w:sz w:val="15"/>
                <w:szCs w:val="15"/>
              </w:rPr>
            </w:pPr>
            <w:r>
              <w:rPr>
                <w:rFonts w:ascii="Arial" w:hAnsi="Arial" w:cs="Arial"/>
                <w:b/>
                <w:color w:val="000000" w:themeColor="text1"/>
                <w:sz w:val="15"/>
                <w:szCs w:val="15"/>
              </w:rPr>
              <w:t>(24,448,1</w:t>
            </w:r>
            <w:r w:rsidR="002B5A4E">
              <w:rPr>
                <w:rFonts w:ascii="Arial" w:hAnsi="Arial" w:cs="Arial"/>
                <w:b/>
                <w:color w:val="000000" w:themeColor="text1"/>
                <w:sz w:val="15"/>
                <w:szCs w:val="15"/>
              </w:rPr>
              <w:t>72</w:t>
            </w:r>
            <w:r>
              <w:rPr>
                <w:rFonts w:ascii="Arial" w:hAnsi="Arial" w:cs="Arial"/>
                <w:b/>
                <w:color w:val="000000" w:themeColor="text1"/>
                <w:sz w:val="15"/>
                <w:szCs w:val="15"/>
              </w:rPr>
              <w:t>)</w:t>
            </w:r>
          </w:p>
        </w:tc>
        <w:tc>
          <w:tcPr>
            <w:tcW w:w="1261" w:type="dxa"/>
            <w:tcBorders>
              <w:top w:val="single" w:sz="4" w:space="0" w:color="auto"/>
              <w:bottom w:val="single" w:sz="4" w:space="0" w:color="auto"/>
            </w:tcBorders>
            <w:vAlign w:val="bottom"/>
          </w:tcPr>
          <w:p w14:paraId="036B04D5" w14:textId="4E9AB298" w:rsidR="00DD12E2" w:rsidRPr="00EB0736"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31,528,</w:t>
            </w:r>
            <w:r w:rsidR="00244EB4">
              <w:rPr>
                <w:rFonts w:ascii="Arial" w:hAnsi="Arial" w:cs="Arial"/>
                <w:b/>
                <w:sz w:val="15"/>
                <w:szCs w:val="15"/>
              </w:rPr>
              <w:t>791</w:t>
            </w:r>
          </w:p>
        </w:tc>
      </w:tr>
      <w:tr w:rsidR="00DD12E2" w:rsidRPr="00EB0736" w14:paraId="1E53ED9C" w14:textId="77777777" w:rsidTr="00EB0736">
        <w:trPr>
          <w:trHeight w:val="287"/>
        </w:trPr>
        <w:tc>
          <w:tcPr>
            <w:tcW w:w="2774" w:type="dxa"/>
            <w:tcBorders>
              <w:top w:val="single" w:sz="4" w:space="0" w:color="auto"/>
              <w:bottom w:val="single" w:sz="4" w:space="0" w:color="auto"/>
            </w:tcBorders>
            <w:vAlign w:val="center"/>
          </w:tcPr>
          <w:p w14:paraId="489FF869"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sz w:val="15"/>
                <w:szCs w:val="15"/>
              </w:rPr>
              <w:t>Loss for the period</w:t>
            </w:r>
          </w:p>
        </w:tc>
        <w:tc>
          <w:tcPr>
            <w:tcW w:w="836" w:type="dxa"/>
            <w:tcBorders>
              <w:top w:val="single" w:sz="4" w:space="0" w:color="auto"/>
              <w:bottom w:val="single" w:sz="4" w:space="0" w:color="auto"/>
            </w:tcBorders>
            <w:vAlign w:val="bottom"/>
          </w:tcPr>
          <w:p w14:paraId="3C09A238" w14:textId="77777777" w:rsidR="00DD12E2" w:rsidRPr="00EB0736"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bottom w:val="single" w:sz="4" w:space="0" w:color="auto"/>
            </w:tcBorders>
            <w:vAlign w:val="bottom"/>
          </w:tcPr>
          <w:p w14:paraId="58A12286" w14:textId="77777777" w:rsidR="00DD12E2" w:rsidRPr="00B710CB"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w:t>
            </w:r>
          </w:p>
        </w:tc>
        <w:tc>
          <w:tcPr>
            <w:tcW w:w="1332" w:type="dxa"/>
            <w:tcBorders>
              <w:top w:val="single" w:sz="4" w:space="0" w:color="auto"/>
              <w:bottom w:val="single" w:sz="4" w:space="0" w:color="auto"/>
            </w:tcBorders>
            <w:vAlign w:val="bottom"/>
          </w:tcPr>
          <w:p w14:paraId="38B642E6" w14:textId="77777777" w:rsidR="00DD12E2" w:rsidRPr="00B710CB"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w:t>
            </w:r>
          </w:p>
        </w:tc>
        <w:tc>
          <w:tcPr>
            <w:tcW w:w="1317" w:type="dxa"/>
            <w:tcBorders>
              <w:top w:val="single" w:sz="4" w:space="0" w:color="auto"/>
              <w:bottom w:val="single" w:sz="4" w:space="0" w:color="auto"/>
            </w:tcBorders>
            <w:vAlign w:val="bottom"/>
          </w:tcPr>
          <w:p w14:paraId="433151B0" w14:textId="77777777" w:rsidR="00DD12E2" w:rsidRPr="00D24CB8"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w:t>
            </w:r>
          </w:p>
        </w:tc>
        <w:tc>
          <w:tcPr>
            <w:tcW w:w="1210" w:type="dxa"/>
            <w:tcBorders>
              <w:top w:val="single" w:sz="4" w:space="0" w:color="auto"/>
              <w:bottom w:val="single" w:sz="4" w:space="0" w:color="auto"/>
            </w:tcBorders>
            <w:vAlign w:val="bottom"/>
          </w:tcPr>
          <w:p w14:paraId="5617A880" w14:textId="4F95161C" w:rsidR="00DD12E2" w:rsidRPr="00D24CB8" w:rsidRDefault="00DD01EE"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(1,588,679)</w:t>
            </w:r>
          </w:p>
        </w:tc>
        <w:tc>
          <w:tcPr>
            <w:tcW w:w="1261" w:type="dxa"/>
            <w:tcBorders>
              <w:top w:val="single" w:sz="4" w:space="0" w:color="auto"/>
              <w:bottom w:val="single" w:sz="4" w:space="0" w:color="auto"/>
            </w:tcBorders>
            <w:vAlign w:val="bottom"/>
          </w:tcPr>
          <w:p w14:paraId="64A80EFD" w14:textId="1697BF52" w:rsidR="00DD12E2" w:rsidRPr="00CF1DC5" w:rsidRDefault="00DD01EE"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Pr>
                <w:rFonts w:ascii="Arial" w:hAnsi="Arial" w:cs="Arial"/>
                <w:sz w:val="15"/>
                <w:szCs w:val="15"/>
              </w:rPr>
              <w:t>(1,588,679)</w:t>
            </w:r>
          </w:p>
        </w:tc>
      </w:tr>
      <w:tr w:rsidR="001A5DC7" w:rsidRPr="00EB0736" w14:paraId="6C6A9699" w14:textId="77777777" w:rsidTr="00EB0736">
        <w:trPr>
          <w:trHeight w:val="444"/>
        </w:trPr>
        <w:tc>
          <w:tcPr>
            <w:tcW w:w="2774" w:type="dxa"/>
            <w:tcBorders>
              <w:top w:val="single" w:sz="4" w:space="0" w:color="auto"/>
            </w:tcBorders>
            <w:vAlign w:val="center"/>
          </w:tcPr>
          <w:p w14:paraId="14CF2A27"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sz w:val="15"/>
                <w:szCs w:val="15"/>
              </w:rPr>
            </w:pPr>
            <w:r w:rsidRPr="00EB0736">
              <w:rPr>
                <w:rFonts w:ascii="Arial" w:hAnsi="Arial" w:cs="Arial"/>
                <w:b/>
                <w:sz w:val="15"/>
                <w:szCs w:val="15"/>
              </w:rPr>
              <w:t>Other comprehensive income for the year</w:t>
            </w:r>
          </w:p>
        </w:tc>
        <w:tc>
          <w:tcPr>
            <w:tcW w:w="836" w:type="dxa"/>
            <w:tcBorders>
              <w:top w:val="single" w:sz="4" w:space="0" w:color="auto"/>
            </w:tcBorders>
            <w:vAlign w:val="bottom"/>
          </w:tcPr>
          <w:p w14:paraId="6A90E1A6"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tcBorders>
            <w:vAlign w:val="bottom"/>
          </w:tcPr>
          <w:p w14:paraId="532D8215" w14:textId="119DF8C9" w:rsidR="001A5DC7" w:rsidRPr="00B710CB"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332" w:type="dxa"/>
            <w:tcBorders>
              <w:top w:val="single" w:sz="4" w:space="0" w:color="auto"/>
            </w:tcBorders>
            <w:vAlign w:val="bottom"/>
          </w:tcPr>
          <w:p w14:paraId="13E4453C" w14:textId="745DE4CC" w:rsidR="001A5DC7" w:rsidRPr="00B710CB"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p>
        </w:tc>
        <w:tc>
          <w:tcPr>
            <w:tcW w:w="1317" w:type="dxa"/>
            <w:tcBorders>
              <w:top w:val="single" w:sz="4" w:space="0" w:color="auto"/>
            </w:tcBorders>
            <w:vAlign w:val="bottom"/>
          </w:tcPr>
          <w:p w14:paraId="3740CDF6" w14:textId="511F65A3"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p>
        </w:tc>
        <w:tc>
          <w:tcPr>
            <w:tcW w:w="1210" w:type="dxa"/>
            <w:tcBorders>
              <w:top w:val="single" w:sz="4" w:space="0" w:color="auto"/>
            </w:tcBorders>
            <w:vAlign w:val="bottom"/>
          </w:tcPr>
          <w:p w14:paraId="4C2A34ED" w14:textId="3C8AFE0C"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p>
        </w:tc>
        <w:tc>
          <w:tcPr>
            <w:tcW w:w="1261" w:type="dxa"/>
            <w:tcBorders>
              <w:top w:val="single" w:sz="4" w:space="0" w:color="auto"/>
            </w:tcBorders>
            <w:vAlign w:val="bottom"/>
          </w:tcPr>
          <w:p w14:paraId="0A3D4AC8" w14:textId="3B40F86A"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p>
        </w:tc>
      </w:tr>
      <w:tr w:rsidR="001A5DC7" w:rsidRPr="00EB0736" w14:paraId="3D67355E" w14:textId="77777777" w:rsidTr="00EB0736">
        <w:trPr>
          <w:trHeight w:val="247"/>
        </w:trPr>
        <w:tc>
          <w:tcPr>
            <w:tcW w:w="2774" w:type="dxa"/>
            <w:vAlign w:val="center"/>
          </w:tcPr>
          <w:p w14:paraId="50205169"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EB0736">
              <w:rPr>
                <w:rFonts w:ascii="Arial" w:hAnsi="Arial" w:cs="Arial"/>
                <w:b/>
                <w:sz w:val="15"/>
                <w:szCs w:val="15"/>
              </w:rPr>
              <w:t>Items that may be subsequently reclassified to profit or loss</w:t>
            </w:r>
          </w:p>
        </w:tc>
        <w:tc>
          <w:tcPr>
            <w:tcW w:w="836" w:type="dxa"/>
            <w:vAlign w:val="bottom"/>
          </w:tcPr>
          <w:p w14:paraId="02DFFD4B" w14:textId="77777777" w:rsidR="001A5DC7" w:rsidRPr="00EB0736"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vAlign w:val="bottom"/>
          </w:tcPr>
          <w:p w14:paraId="6604D90C" w14:textId="4686BD1E" w:rsidR="001A5DC7" w:rsidRPr="00B710CB"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c>
          <w:tcPr>
            <w:tcW w:w="1332" w:type="dxa"/>
            <w:vAlign w:val="bottom"/>
          </w:tcPr>
          <w:p w14:paraId="6307810B" w14:textId="3A121418" w:rsidR="001A5DC7" w:rsidRPr="00B710CB"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c>
          <w:tcPr>
            <w:tcW w:w="1317" w:type="dxa"/>
            <w:vAlign w:val="bottom"/>
          </w:tcPr>
          <w:p w14:paraId="31EE721E" w14:textId="6299C1A5"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c>
          <w:tcPr>
            <w:tcW w:w="1210" w:type="dxa"/>
            <w:vAlign w:val="bottom"/>
          </w:tcPr>
          <w:p w14:paraId="239CAAB0" w14:textId="3FA6CA7B"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c>
          <w:tcPr>
            <w:tcW w:w="1261" w:type="dxa"/>
            <w:vAlign w:val="bottom"/>
          </w:tcPr>
          <w:p w14:paraId="4C4CE7D8" w14:textId="7CB2ADF7" w:rsidR="001A5DC7" w:rsidRPr="00D24CB8" w:rsidRDefault="001A5DC7" w:rsidP="001A5DC7">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p>
        </w:tc>
      </w:tr>
      <w:tr w:rsidR="00DD12E2" w:rsidRPr="00726F2E" w14:paraId="46E46046" w14:textId="77777777" w:rsidTr="005F6D82">
        <w:trPr>
          <w:trHeight w:val="247"/>
        </w:trPr>
        <w:tc>
          <w:tcPr>
            <w:tcW w:w="2774" w:type="dxa"/>
            <w:tcBorders>
              <w:top w:val="single" w:sz="4" w:space="0" w:color="auto"/>
              <w:bottom w:val="single" w:sz="4" w:space="0" w:color="auto"/>
            </w:tcBorders>
            <w:vAlign w:val="center"/>
          </w:tcPr>
          <w:p w14:paraId="3B772034"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726F2E">
              <w:rPr>
                <w:rFonts w:ascii="Arial" w:hAnsi="Arial" w:cs="Arial"/>
                <w:sz w:val="15"/>
                <w:szCs w:val="15"/>
              </w:rPr>
              <w:t>Currency translation differences</w:t>
            </w:r>
          </w:p>
        </w:tc>
        <w:tc>
          <w:tcPr>
            <w:tcW w:w="836" w:type="dxa"/>
            <w:tcBorders>
              <w:top w:val="single" w:sz="4" w:space="0" w:color="auto"/>
              <w:bottom w:val="single" w:sz="4" w:space="0" w:color="auto"/>
            </w:tcBorders>
            <w:vAlign w:val="bottom"/>
          </w:tcPr>
          <w:p w14:paraId="641B488D"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bottom w:val="single" w:sz="4" w:space="0" w:color="auto"/>
            </w:tcBorders>
            <w:vAlign w:val="bottom"/>
          </w:tcPr>
          <w:p w14:paraId="05BB2504"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726F2E">
              <w:rPr>
                <w:rFonts w:ascii="Arial" w:hAnsi="Arial" w:cs="Arial"/>
                <w:sz w:val="15"/>
                <w:szCs w:val="15"/>
              </w:rPr>
              <w:t>-</w:t>
            </w:r>
          </w:p>
        </w:tc>
        <w:tc>
          <w:tcPr>
            <w:tcW w:w="1332" w:type="dxa"/>
            <w:tcBorders>
              <w:top w:val="single" w:sz="4" w:space="0" w:color="auto"/>
              <w:bottom w:val="single" w:sz="4" w:space="0" w:color="auto"/>
            </w:tcBorders>
            <w:vAlign w:val="bottom"/>
          </w:tcPr>
          <w:p w14:paraId="7787AB1E"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726F2E">
              <w:rPr>
                <w:rFonts w:ascii="Arial" w:hAnsi="Arial" w:cs="Arial"/>
                <w:sz w:val="15"/>
                <w:szCs w:val="15"/>
              </w:rPr>
              <w:t>-</w:t>
            </w:r>
          </w:p>
        </w:tc>
        <w:tc>
          <w:tcPr>
            <w:tcW w:w="1317" w:type="dxa"/>
            <w:tcBorders>
              <w:top w:val="single" w:sz="4" w:space="0" w:color="auto"/>
              <w:bottom w:val="single" w:sz="4" w:space="0" w:color="auto"/>
            </w:tcBorders>
            <w:vAlign w:val="bottom"/>
          </w:tcPr>
          <w:p w14:paraId="2ABCA598" w14:textId="6324EE9B" w:rsidR="00DD12E2" w:rsidRPr="00726F2E" w:rsidRDefault="00E973DB"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Pr>
                <w:rFonts w:ascii="Arial" w:hAnsi="Arial" w:cs="Arial"/>
                <w:sz w:val="15"/>
                <w:szCs w:val="15"/>
              </w:rPr>
              <w:t>5</w:t>
            </w:r>
            <w:r w:rsidR="00076F34">
              <w:rPr>
                <w:rFonts w:ascii="Arial" w:hAnsi="Arial" w:cs="Arial"/>
                <w:sz w:val="15"/>
                <w:szCs w:val="15"/>
              </w:rPr>
              <w:t>21,</w:t>
            </w:r>
            <w:r w:rsidR="00DD01EE">
              <w:rPr>
                <w:rFonts w:ascii="Arial" w:hAnsi="Arial" w:cs="Arial"/>
                <w:sz w:val="15"/>
                <w:szCs w:val="15"/>
              </w:rPr>
              <w:t>317</w:t>
            </w:r>
          </w:p>
        </w:tc>
        <w:tc>
          <w:tcPr>
            <w:tcW w:w="1210" w:type="dxa"/>
            <w:tcBorders>
              <w:top w:val="single" w:sz="4" w:space="0" w:color="auto"/>
              <w:bottom w:val="single" w:sz="4" w:space="0" w:color="auto"/>
            </w:tcBorders>
            <w:vAlign w:val="bottom"/>
          </w:tcPr>
          <w:p w14:paraId="22299043"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sidRPr="00726F2E">
              <w:rPr>
                <w:rFonts w:ascii="Arial" w:hAnsi="Arial" w:cs="Arial"/>
                <w:sz w:val="15"/>
                <w:szCs w:val="15"/>
              </w:rPr>
              <w:t>-</w:t>
            </w:r>
          </w:p>
        </w:tc>
        <w:tc>
          <w:tcPr>
            <w:tcW w:w="1261" w:type="dxa"/>
            <w:tcBorders>
              <w:top w:val="single" w:sz="4" w:space="0" w:color="auto"/>
              <w:bottom w:val="single" w:sz="4" w:space="0" w:color="auto"/>
            </w:tcBorders>
            <w:vAlign w:val="bottom"/>
          </w:tcPr>
          <w:p w14:paraId="2F901E3A" w14:textId="0D746B19" w:rsidR="00DD12E2" w:rsidRPr="00726F2E" w:rsidRDefault="00DD01EE"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sz w:val="15"/>
                <w:szCs w:val="15"/>
              </w:rPr>
            </w:pPr>
            <w:r>
              <w:rPr>
                <w:rFonts w:ascii="Arial" w:hAnsi="Arial" w:cs="Arial"/>
                <w:sz w:val="15"/>
                <w:szCs w:val="15"/>
              </w:rPr>
              <w:t>521,317</w:t>
            </w:r>
          </w:p>
        </w:tc>
      </w:tr>
      <w:tr w:rsidR="00DD12E2" w:rsidRPr="00726F2E" w14:paraId="1A6C17D8" w14:textId="77777777" w:rsidTr="005F6D82">
        <w:trPr>
          <w:trHeight w:val="247"/>
        </w:trPr>
        <w:tc>
          <w:tcPr>
            <w:tcW w:w="2774" w:type="dxa"/>
            <w:tcBorders>
              <w:top w:val="single" w:sz="4" w:space="0" w:color="auto"/>
              <w:bottom w:val="single" w:sz="4" w:space="0" w:color="auto"/>
            </w:tcBorders>
            <w:vAlign w:val="center"/>
          </w:tcPr>
          <w:p w14:paraId="424E4907"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726F2E">
              <w:rPr>
                <w:rFonts w:ascii="Arial" w:hAnsi="Arial" w:cs="Arial"/>
                <w:b/>
                <w:sz w:val="15"/>
                <w:szCs w:val="15"/>
              </w:rPr>
              <w:t>Total comprehensive income for the year</w:t>
            </w:r>
          </w:p>
        </w:tc>
        <w:tc>
          <w:tcPr>
            <w:tcW w:w="836" w:type="dxa"/>
            <w:tcBorders>
              <w:top w:val="single" w:sz="4" w:space="0" w:color="auto"/>
              <w:bottom w:val="single" w:sz="4" w:space="0" w:color="auto"/>
            </w:tcBorders>
            <w:vAlign w:val="bottom"/>
          </w:tcPr>
          <w:p w14:paraId="50546516"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sz w:val="15"/>
                <w:szCs w:val="15"/>
              </w:rPr>
            </w:pPr>
          </w:p>
        </w:tc>
        <w:tc>
          <w:tcPr>
            <w:tcW w:w="1195" w:type="dxa"/>
            <w:tcBorders>
              <w:top w:val="single" w:sz="4" w:space="0" w:color="auto"/>
              <w:bottom w:val="single" w:sz="4" w:space="0" w:color="auto"/>
            </w:tcBorders>
            <w:vAlign w:val="bottom"/>
          </w:tcPr>
          <w:p w14:paraId="50B6EB23"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sidRPr="00726F2E">
              <w:rPr>
                <w:rFonts w:ascii="Arial" w:hAnsi="Arial" w:cs="Arial"/>
                <w:b/>
                <w:sz w:val="15"/>
                <w:szCs w:val="15"/>
              </w:rPr>
              <w:t>-</w:t>
            </w:r>
          </w:p>
        </w:tc>
        <w:tc>
          <w:tcPr>
            <w:tcW w:w="1332" w:type="dxa"/>
            <w:tcBorders>
              <w:top w:val="single" w:sz="4" w:space="0" w:color="auto"/>
              <w:bottom w:val="single" w:sz="4" w:space="0" w:color="auto"/>
            </w:tcBorders>
            <w:vAlign w:val="bottom"/>
          </w:tcPr>
          <w:p w14:paraId="14677802"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sz w:val="15"/>
                <w:szCs w:val="15"/>
              </w:rPr>
            </w:pPr>
            <w:r w:rsidRPr="00726F2E">
              <w:rPr>
                <w:rFonts w:ascii="Arial" w:hAnsi="Arial" w:cs="Arial"/>
                <w:b/>
                <w:sz w:val="15"/>
                <w:szCs w:val="15"/>
              </w:rPr>
              <w:t>-</w:t>
            </w:r>
          </w:p>
        </w:tc>
        <w:tc>
          <w:tcPr>
            <w:tcW w:w="1317" w:type="dxa"/>
            <w:tcBorders>
              <w:top w:val="single" w:sz="4" w:space="0" w:color="auto"/>
              <w:bottom w:val="single" w:sz="4" w:space="0" w:color="auto"/>
            </w:tcBorders>
            <w:vAlign w:val="bottom"/>
          </w:tcPr>
          <w:p w14:paraId="6073937B" w14:textId="4418AE46" w:rsidR="00DD12E2" w:rsidRPr="00E973DB" w:rsidRDefault="00076F34"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bCs/>
                <w:sz w:val="15"/>
                <w:szCs w:val="15"/>
              </w:rPr>
            </w:pPr>
            <w:r>
              <w:rPr>
                <w:rFonts w:ascii="Arial" w:hAnsi="Arial" w:cs="Arial"/>
                <w:b/>
                <w:bCs/>
                <w:sz w:val="15"/>
                <w:szCs w:val="15"/>
              </w:rPr>
              <w:t>521,</w:t>
            </w:r>
            <w:r w:rsidR="00DD01EE">
              <w:rPr>
                <w:rFonts w:ascii="Arial" w:hAnsi="Arial" w:cs="Arial"/>
                <w:b/>
                <w:bCs/>
                <w:sz w:val="15"/>
                <w:szCs w:val="15"/>
              </w:rPr>
              <w:t>317</w:t>
            </w:r>
          </w:p>
        </w:tc>
        <w:tc>
          <w:tcPr>
            <w:tcW w:w="1210" w:type="dxa"/>
            <w:tcBorders>
              <w:top w:val="single" w:sz="4" w:space="0" w:color="auto"/>
              <w:bottom w:val="single" w:sz="4" w:space="0" w:color="auto"/>
            </w:tcBorders>
            <w:vAlign w:val="bottom"/>
          </w:tcPr>
          <w:p w14:paraId="4CEDBCB6" w14:textId="1D8DE0F1" w:rsidR="00DD12E2" w:rsidRPr="00DD01EE" w:rsidRDefault="00DD01EE"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bCs/>
                <w:sz w:val="15"/>
                <w:szCs w:val="15"/>
              </w:rPr>
            </w:pPr>
            <w:r w:rsidRPr="0051151D">
              <w:rPr>
                <w:rFonts w:ascii="Arial" w:hAnsi="Arial" w:cs="Arial"/>
                <w:b/>
                <w:bCs/>
                <w:sz w:val="15"/>
                <w:szCs w:val="15"/>
              </w:rPr>
              <w:t>(1,588,679)</w:t>
            </w:r>
          </w:p>
        </w:tc>
        <w:tc>
          <w:tcPr>
            <w:tcW w:w="1261" w:type="dxa"/>
            <w:tcBorders>
              <w:top w:val="single" w:sz="4" w:space="0" w:color="auto"/>
              <w:bottom w:val="single" w:sz="4" w:space="0" w:color="auto"/>
            </w:tcBorders>
            <w:vAlign w:val="bottom"/>
          </w:tcPr>
          <w:p w14:paraId="576D6297" w14:textId="33CCBE9E" w:rsidR="00DD12E2" w:rsidRPr="00726F2E" w:rsidRDefault="00DD01EE"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after="60"/>
              <w:jc w:val="right"/>
              <w:rPr>
                <w:rFonts w:ascii="Arial" w:hAnsi="Arial" w:cs="Arial"/>
                <w:b/>
                <w:bCs/>
                <w:sz w:val="15"/>
                <w:szCs w:val="15"/>
              </w:rPr>
            </w:pPr>
            <w:r>
              <w:rPr>
                <w:rFonts w:ascii="Arial" w:hAnsi="Arial" w:cs="Arial"/>
                <w:b/>
                <w:bCs/>
                <w:sz w:val="15"/>
                <w:szCs w:val="15"/>
              </w:rPr>
              <w:t>(1,067,362)</w:t>
            </w:r>
          </w:p>
        </w:tc>
      </w:tr>
      <w:tr w:rsidR="00DD12E2" w:rsidRPr="00726F2E" w14:paraId="448113B3" w14:textId="77777777" w:rsidTr="005F6D82">
        <w:trPr>
          <w:trHeight w:val="227"/>
        </w:trPr>
        <w:tc>
          <w:tcPr>
            <w:tcW w:w="2774" w:type="dxa"/>
            <w:tcBorders>
              <w:top w:val="single" w:sz="4" w:space="0" w:color="auto"/>
            </w:tcBorders>
            <w:vAlign w:val="center"/>
          </w:tcPr>
          <w:p w14:paraId="2E63AB8F" w14:textId="7F792329" w:rsidR="00DD12E2" w:rsidRPr="00726F2E"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726F2E">
              <w:rPr>
                <w:rFonts w:ascii="Arial" w:hAnsi="Arial" w:cs="Arial"/>
                <w:sz w:val="15"/>
                <w:szCs w:val="15"/>
              </w:rPr>
              <w:t>Proceeds from share issues</w:t>
            </w:r>
          </w:p>
        </w:tc>
        <w:tc>
          <w:tcPr>
            <w:tcW w:w="836" w:type="dxa"/>
            <w:tcBorders>
              <w:top w:val="single" w:sz="4" w:space="0" w:color="auto"/>
            </w:tcBorders>
            <w:vAlign w:val="bottom"/>
          </w:tcPr>
          <w:p w14:paraId="40B9581A" w14:textId="77777777" w:rsidR="00DD12E2" w:rsidRPr="00726F2E" w:rsidRDefault="00DD12E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p>
        </w:tc>
        <w:tc>
          <w:tcPr>
            <w:tcW w:w="1195" w:type="dxa"/>
            <w:tcBorders>
              <w:top w:val="single" w:sz="4" w:space="0" w:color="auto"/>
            </w:tcBorders>
            <w:vAlign w:val="bottom"/>
          </w:tcPr>
          <w:p w14:paraId="2175BE68" w14:textId="6546CD7C" w:rsidR="00DD12E2" w:rsidRPr="00726F2E" w:rsidRDefault="0083543C"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7,68</w:t>
            </w:r>
            <w:r w:rsidR="00AA2FD1">
              <w:rPr>
                <w:rFonts w:ascii="Arial" w:hAnsi="Arial" w:cs="Arial"/>
                <w:sz w:val="15"/>
                <w:szCs w:val="15"/>
              </w:rPr>
              <w:t>7</w:t>
            </w:r>
          </w:p>
        </w:tc>
        <w:tc>
          <w:tcPr>
            <w:tcW w:w="1332" w:type="dxa"/>
            <w:tcBorders>
              <w:top w:val="single" w:sz="4" w:space="0" w:color="auto"/>
            </w:tcBorders>
            <w:vAlign w:val="bottom"/>
          </w:tcPr>
          <w:p w14:paraId="3D1650E8" w14:textId="60B95F6B" w:rsidR="00DD12E2" w:rsidRPr="00726F2E" w:rsidRDefault="0083543C"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5,372,313</w:t>
            </w:r>
          </w:p>
        </w:tc>
        <w:tc>
          <w:tcPr>
            <w:tcW w:w="1317" w:type="dxa"/>
            <w:tcBorders>
              <w:top w:val="single" w:sz="4" w:space="0" w:color="auto"/>
            </w:tcBorders>
            <w:vAlign w:val="bottom"/>
          </w:tcPr>
          <w:p w14:paraId="1C2AA5CE" w14:textId="428E7EE3" w:rsidR="00DD12E2" w:rsidRPr="00726F2E" w:rsidRDefault="00DD12E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w:t>
            </w:r>
          </w:p>
        </w:tc>
        <w:tc>
          <w:tcPr>
            <w:tcW w:w="1210" w:type="dxa"/>
            <w:tcBorders>
              <w:top w:val="single" w:sz="4" w:space="0" w:color="auto"/>
            </w:tcBorders>
            <w:vAlign w:val="bottom"/>
          </w:tcPr>
          <w:p w14:paraId="2B279B4A" w14:textId="77777777" w:rsidR="00DD12E2" w:rsidRPr="00726F2E" w:rsidRDefault="00DD12E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w:t>
            </w:r>
          </w:p>
        </w:tc>
        <w:tc>
          <w:tcPr>
            <w:tcW w:w="1261" w:type="dxa"/>
            <w:tcBorders>
              <w:top w:val="single" w:sz="4" w:space="0" w:color="auto"/>
            </w:tcBorders>
            <w:vAlign w:val="bottom"/>
          </w:tcPr>
          <w:p w14:paraId="297D3C5A" w14:textId="6845F5F8" w:rsidR="00DD12E2" w:rsidRPr="00726F2E" w:rsidRDefault="0083543C"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5,3</w:t>
            </w:r>
            <w:r w:rsidR="00AA2FD1">
              <w:rPr>
                <w:rFonts w:ascii="Arial" w:hAnsi="Arial" w:cs="Arial"/>
                <w:sz w:val="15"/>
                <w:szCs w:val="15"/>
              </w:rPr>
              <w:t>80,000</w:t>
            </w:r>
          </w:p>
        </w:tc>
      </w:tr>
      <w:tr w:rsidR="00BD46A2" w:rsidRPr="00726F2E" w14:paraId="1E65FFBA" w14:textId="77777777" w:rsidTr="005F6D82">
        <w:trPr>
          <w:trHeight w:val="227"/>
        </w:trPr>
        <w:tc>
          <w:tcPr>
            <w:tcW w:w="2774" w:type="dxa"/>
            <w:tcBorders>
              <w:bottom w:val="single" w:sz="4" w:space="0" w:color="auto"/>
            </w:tcBorders>
            <w:vAlign w:val="center"/>
          </w:tcPr>
          <w:p w14:paraId="3C1D1BA4" w14:textId="4E78A141" w:rsidR="00BD46A2" w:rsidRPr="00726F2E" w:rsidDel="00BD46A2"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726F2E">
              <w:rPr>
                <w:rFonts w:ascii="Arial" w:hAnsi="Arial" w:cs="Arial"/>
                <w:sz w:val="15"/>
                <w:szCs w:val="15"/>
              </w:rPr>
              <w:t>Issue costs</w:t>
            </w:r>
          </w:p>
        </w:tc>
        <w:tc>
          <w:tcPr>
            <w:tcW w:w="836" w:type="dxa"/>
            <w:tcBorders>
              <w:bottom w:val="single" w:sz="4" w:space="0" w:color="auto"/>
            </w:tcBorders>
            <w:vAlign w:val="bottom"/>
          </w:tcPr>
          <w:p w14:paraId="43BA2D5B" w14:textId="77777777" w:rsidR="00BD46A2" w:rsidRPr="00726F2E"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p>
        </w:tc>
        <w:tc>
          <w:tcPr>
            <w:tcW w:w="1195" w:type="dxa"/>
            <w:tcBorders>
              <w:bottom w:val="single" w:sz="4" w:space="0" w:color="auto"/>
            </w:tcBorders>
            <w:vAlign w:val="bottom"/>
          </w:tcPr>
          <w:p w14:paraId="586AE089" w14:textId="4696FF2B" w:rsidR="00BD46A2" w:rsidRPr="00726F2E"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w:t>
            </w:r>
          </w:p>
        </w:tc>
        <w:tc>
          <w:tcPr>
            <w:tcW w:w="1332" w:type="dxa"/>
            <w:tcBorders>
              <w:bottom w:val="single" w:sz="4" w:space="0" w:color="auto"/>
            </w:tcBorders>
            <w:vAlign w:val="bottom"/>
          </w:tcPr>
          <w:p w14:paraId="1734D7DD" w14:textId="2C5B3680" w:rsidR="00BD46A2" w:rsidRPr="00726F2E" w:rsidRDefault="0083543C"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(174,330)</w:t>
            </w:r>
          </w:p>
        </w:tc>
        <w:tc>
          <w:tcPr>
            <w:tcW w:w="1317" w:type="dxa"/>
            <w:tcBorders>
              <w:bottom w:val="single" w:sz="4" w:space="0" w:color="auto"/>
            </w:tcBorders>
            <w:vAlign w:val="bottom"/>
          </w:tcPr>
          <w:p w14:paraId="614A08EF" w14:textId="735F35B4" w:rsidR="00BD46A2" w:rsidRPr="00726F2E" w:rsidDel="00DD12E2"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w:t>
            </w:r>
          </w:p>
        </w:tc>
        <w:tc>
          <w:tcPr>
            <w:tcW w:w="1210" w:type="dxa"/>
            <w:tcBorders>
              <w:bottom w:val="single" w:sz="4" w:space="0" w:color="auto"/>
            </w:tcBorders>
            <w:vAlign w:val="bottom"/>
          </w:tcPr>
          <w:p w14:paraId="704595E2" w14:textId="269C35E0" w:rsidR="00BD46A2" w:rsidRPr="00726F2E" w:rsidRDefault="00BD46A2"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w:t>
            </w:r>
          </w:p>
        </w:tc>
        <w:tc>
          <w:tcPr>
            <w:tcW w:w="1261" w:type="dxa"/>
            <w:tcBorders>
              <w:bottom w:val="single" w:sz="4" w:space="0" w:color="auto"/>
            </w:tcBorders>
            <w:vAlign w:val="bottom"/>
          </w:tcPr>
          <w:p w14:paraId="3893EFDF" w14:textId="4F49196E" w:rsidR="00BD46A2" w:rsidRPr="00726F2E" w:rsidDel="00DD12E2" w:rsidRDefault="0083543C" w:rsidP="005F6D8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sz w:val="15"/>
                <w:szCs w:val="15"/>
              </w:rPr>
            </w:pPr>
            <w:r w:rsidRPr="00726F2E">
              <w:rPr>
                <w:rFonts w:ascii="Arial" w:hAnsi="Arial" w:cs="Arial"/>
                <w:sz w:val="15"/>
                <w:szCs w:val="15"/>
              </w:rPr>
              <w:t>(174,330)</w:t>
            </w:r>
          </w:p>
        </w:tc>
      </w:tr>
      <w:tr w:rsidR="00DD12E2" w:rsidRPr="00726F2E" w14:paraId="392C589D" w14:textId="77777777" w:rsidTr="005F6D82">
        <w:trPr>
          <w:trHeight w:val="444"/>
        </w:trPr>
        <w:tc>
          <w:tcPr>
            <w:tcW w:w="2774" w:type="dxa"/>
            <w:tcBorders>
              <w:top w:val="single" w:sz="4" w:space="0" w:color="auto"/>
              <w:bottom w:val="single" w:sz="4" w:space="0" w:color="auto"/>
            </w:tcBorders>
            <w:vAlign w:val="center"/>
          </w:tcPr>
          <w:p w14:paraId="26DD8D0D"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sz w:val="15"/>
                <w:szCs w:val="15"/>
              </w:rPr>
            </w:pPr>
            <w:r w:rsidRPr="00726F2E">
              <w:rPr>
                <w:rFonts w:ascii="Arial" w:hAnsi="Arial" w:cs="Arial"/>
                <w:b/>
                <w:sz w:val="15"/>
                <w:szCs w:val="15"/>
              </w:rPr>
              <w:t>Total transactions with owners, recognised in equity</w:t>
            </w:r>
          </w:p>
        </w:tc>
        <w:tc>
          <w:tcPr>
            <w:tcW w:w="836" w:type="dxa"/>
            <w:tcBorders>
              <w:top w:val="single" w:sz="4" w:space="0" w:color="auto"/>
              <w:bottom w:val="single" w:sz="4" w:space="0" w:color="auto"/>
            </w:tcBorders>
            <w:vAlign w:val="bottom"/>
          </w:tcPr>
          <w:p w14:paraId="1C78E917"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bottom w:val="single" w:sz="4" w:space="0" w:color="auto"/>
            </w:tcBorders>
            <w:vAlign w:val="bottom"/>
          </w:tcPr>
          <w:p w14:paraId="6592E820" w14:textId="5EFA28D2" w:rsidR="00DD12E2" w:rsidRPr="005F6D82" w:rsidRDefault="0083543C"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bCs/>
                <w:sz w:val="15"/>
                <w:szCs w:val="15"/>
              </w:rPr>
            </w:pPr>
            <w:r w:rsidRPr="005F6D82">
              <w:rPr>
                <w:rFonts w:ascii="Arial" w:hAnsi="Arial" w:cs="Arial"/>
                <w:b/>
                <w:bCs/>
                <w:sz w:val="15"/>
                <w:szCs w:val="15"/>
              </w:rPr>
              <w:t>7,68</w:t>
            </w:r>
            <w:r w:rsidR="00AA2FD1">
              <w:rPr>
                <w:rFonts w:ascii="Arial" w:hAnsi="Arial" w:cs="Arial"/>
                <w:b/>
                <w:bCs/>
                <w:sz w:val="15"/>
                <w:szCs w:val="15"/>
              </w:rPr>
              <w:t>7</w:t>
            </w:r>
          </w:p>
        </w:tc>
        <w:tc>
          <w:tcPr>
            <w:tcW w:w="1332" w:type="dxa"/>
            <w:tcBorders>
              <w:top w:val="single" w:sz="4" w:space="0" w:color="auto"/>
              <w:bottom w:val="single" w:sz="4" w:space="0" w:color="auto"/>
            </w:tcBorders>
            <w:vAlign w:val="bottom"/>
          </w:tcPr>
          <w:p w14:paraId="4FE00C7C" w14:textId="165F1E24" w:rsidR="00DD12E2" w:rsidRPr="00726F2E" w:rsidRDefault="0083543C"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bCs/>
                <w:sz w:val="15"/>
                <w:szCs w:val="15"/>
              </w:rPr>
            </w:pPr>
            <w:r w:rsidRPr="00726F2E">
              <w:rPr>
                <w:rFonts w:ascii="Arial" w:hAnsi="Arial" w:cs="Arial"/>
                <w:b/>
                <w:bCs/>
                <w:sz w:val="15"/>
                <w:szCs w:val="15"/>
              </w:rPr>
              <w:t>5,197,983</w:t>
            </w:r>
          </w:p>
        </w:tc>
        <w:tc>
          <w:tcPr>
            <w:tcW w:w="1317" w:type="dxa"/>
            <w:tcBorders>
              <w:top w:val="single" w:sz="4" w:space="0" w:color="auto"/>
              <w:bottom w:val="single" w:sz="4" w:space="0" w:color="auto"/>
            </w:tcBorders>
            <w:vAlign w:val="bottom"/>
          </w:tcPr>
          <w:p w14:paraId="614BCA5C" w14:textId="5A1400F3"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726F2E">
              <w:rPr>
                <w:rFonts w:ascii="Arial" w:hAnsi="Arial" w:cs="Arial"/>
                <w:b/>
                <w:sz w:val="15"/>
                <w:szCs w:val="15"/>
              </w:rPr>
              <w:t>-</w:t>
            </w:r>
          </w:p>
        </w:tc>
        <w:tc>
          <w:tcPr>
            <w:tcW w:w="1210" w:type="dxa"/>
            <w:tcBorders>
              <w:top w:val="single" w:sz="4" w:space="0" w:color="auto"/>
              <w:bottom w:val="single" w:sz="4" w:space="0" w:color="auto"/>
            </w:tcBorders>
            <w:vAlign w:val="bottom"/>
          </w:tcPr>
          <w:p w14:paraId="339F190B"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726F2E">
              <w:rPr>
                <w:rFonts w:ascii="Arial" w:hAnsi="Arial" w:cs="Arial"/>
                <w:b/>
                <w:sz w:val="15"/>
                <w:szCs w:val="15"/>
              </w:rPr>
              <w:t>-</w:t>
            </w:r>
          </w:p>
        </w:tc>
        <w:tc>
          <w:tcPr>
            <w:tcW w:w="1261" w:type="dxa"/>
            <w:tcBorders>
              <w:top w:val="single" w:sz="4" w:space="0" w:color="auto"/>
              <w:bottom w:val="single" w:sz="4" w:space="0" w:color="auto"/>
            </w:tcBorders>
            <w:vAlign w:val="bottom"/>
          </w:tcPr>
          <w:p w14:paraId="79908ADE" w14:textId="3DFCF88D" w:rsidR="00DD12E2" w:rsidRPr="00726F2E" w:rsidRDefault="0083543C"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726F2E">
              <w:rPr>
                <w:rFonts w:ascii="Arial" w:hAnsi="Arial" w:cs="Arial"/>
                <w:b/>
                <w:sz w:val="15"/>
                <w:szCs w:val="15"/>
              </w:rPr>
              <w:t>5,205,6</w:t>
            </w:r>
            <w:r w:rsidR="00AA2FD1">
              <w:rPr>
                <w:rFonts w:ascii="Arial" w:hAnsi="Arial" w:cs="Arial"/>
                <w:b/>
                <w:sz w:val="15"/>
                <w:szCs w:val="15"/>
              </w:rPr>
              <w:t>70</w:t>
            </w:r>
          </w:p>
        </w:tc>
      </w:tr>
      <w:tr w:rsidR="00DD12E2" w:rsidRPr="00EB0736" w14:paraId="25EFCCB3" w14:textId="77777777" w:rsidTr="005C2F66">
        <w:trPr>
          <w:trHeight w:val="287"/>
        </w:trPr>
        <w:tc>
          <w:tcPr>
            <w:tcW w:w="2774" w:type="dxa"/>
            <w:tcBorders>
              <w:top w:val="single" w:sz="4" w:space="0" w:color="auto"/>
              <w:bottom w:val="single" w:sz="4" w:space="0" w:color="auto"/>
            </w:tcBorders>
            <w:vAlign w:val="center"/>
          </w:tcPr>
          <w:p w14:paraId="75506383" w14:textId="18042ADD"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rPr>
                <w:rFonts w:ascii="Arial" w:hAnsi="Arial" w:cs="Arial"/>
                <w:b/>
                <w:bCs/>
                <w:sz w:val="15"/>
                <w:szCs w:val="15"/>
              </w:rPr>
            </w:pPr>
            <w:r w:rsidRPr="00726F2E">
              <w:rPr>
                <w:rFonts w:ascii="Arial" w:hAnsi="Arial" w:cs="Arial"/>
                <w:b/>
                <w:bCs/>
                <w:sz w:val="15"/>
                <w:szCs w:val="15"/>
              </w:rPr>
              <w:t xml:space="preserve">Balance as </w:t>
            </w:r>
            <w:proofErr w:type="gramStart"/>
            <w:r w:rsidRPr="00726F2E">
              <w:rPr>
                <w:rFonts w:ascii="Arial" w:hAnsi="Arial" w:cs="Arial"/>
                <w:b/>
                <w:bCs/>
                <w:sz w:val="15"/>
                <w:szCs w:val="15"/>
              </w:rPr>
              <w:t>at</w:t>
            </w:r>
            <w:proofErr w:type="gramEnd"/>
            <w:r w:rsidRPr="00726F2E">
              <w:rPr>
                <w:rFonts w:ascii="Arial" w:hAnsi="Arial" w:cs="Arial"/>
                <w:b/>
                <w:bCs/>
                <w:sz w:val="15"/>
                <w:szCs w:val="15"/>
              </w:rPr>
              <w:t xml:space="preserve"> 30 June 2022</w:t>
            </w:r>
          </w:p>
        </w:tc>
        <w:tc>
          <w:tcPr>
            <w:tcW w:w="836" w:type="dxa"/>
            <w:tcBorders>
              <w:top w:val="single" w:sz="4" w:space="0" w:color="auto"/>
              <w:bottom w:val="single" w:sz="4" w:space="0" w:color="auto"/>
            </w:tcBorders>
            <w:vAlign w:val="bottom"/>
          </w:tcPr>
          <w:p w14:paraId="280688AF" w14:textId="77777777" w:rsidR="00DD12E2" w:rsidRPr="00726F2E" w:rsidRDefault="00DD12E2"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center"/>
              <w:rPr>
                <w:rFonts w:ascii="Arial" w:hAnsi="Arial" w:cs="Arial"/>
                <w:b/>
                <w:sz w:val="15"/>
                <w:szCs w:val="15"/>
              </w:rPr>
            </w:pPr>
          </w:p>
        </w:tc>
        <w:tc>
          <w:tcPr>
            <w:tcW w:w="1195" w:type="dxa"/>
            <w:tcBorders>
              <w:top w:val="single" w:sz="4" w:space="0" w:color="auto"/>
              <w:bottom w:val="single" w:sz="4" w:space="0" w:color="auto"/>
            </w:tcBorders>
            <w:vAlign w:val="center"/>
          </w:tcPr>
          <w:p w14:paraId="1DB6713A" w14:textId="101B437A" w:rsidR="00DD12E2" w:rsidRPr="00726F2E"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726F2E">
              <w:rPr>
                <w:rFonts w:ascii="Arial" w:hAnsi="Arial" w:cs="Arial"/>
                <w:b/>
                <w:sz w:val="15"/>
                <w:szCs w:val="15"/>
              </w:rPr>
              <w:t>7,492,042</w:t>
            </w:r>
          </w:p>
        </w:tc>
        <w:tc>
          <w:tcPr>
            <w:tcW w:w="1332" w:type="dxa"/>
            <w:tcBorders>
              <w:top w:val="single" w:sz="4" w:space="0" w:color="auto"/>
              <w:bottom w:val="single" w:sz="4" w:space="0" w:color="auto"/>
            </w:tcBorders>
            <w:vAlign w:val="center"/>
          </w:tcPr>
          <w:p w14:paraId="7B2274C4" w14:textId="2CD80128" w:rsidR="00DD12E2" w:rsidRPr="00726F2E"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sidRPr="00726F2E">
              <w:rPr>
                <w:rFonts w:ascii="Arial" w:hAnsi="Arial" w:cs="Arial"/>
                <w:b/>
                <w:sz w:val="15"/>
                <w:szCs w:val="15"/>
              </w:rPr>
              <w:t>60,903,</w:t>
            </w:r>
            <w:r w:rsidR="00AA2FD1">
              <w:rPr>
                <w:rFonts w:ascii="Arial" w:hAnsi="Arial" w:cs="Arial"/>
                <w:b/>
                <w:sz w:val="15"/>
                <w:szCs w:val="15"/>
              </w:rPr>
              <w:t>865</w:t>
            </w:r>
          </w:p>
        </w:tc>
        <w:tc>
          <w:tcPr>
            <w:tcW w:w="1317" w:type="dxa"/>
            <w:tcBorders>
              <w:top w:val="single" w:sz="4" w:space="0" w:color="auto"/>
              <w:bottom w:val="single" w:sz="4" w:space="0" w:color="auto"/>
            </w:tcBorders>
            <w:vAlign w:val="bottom"/>
          </w:tcPr>
          <w:p w14:paraId="73E673F8" w14:textId="794110C5" w:rsidR="00DD12E2" w:rsidRPr="00726F2E"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color w:val="000000" w:themeColor="text1"/>
                <w:sz w:val="15"/>
                <w:szCs w:val="15"/>
              </w:rPr>
            </w:pPr>
            <w:r w:rsidRPr="00726F2E">
              <w:rPr>
                <w:rFonts w:ascii="Arial" w:hAnsi="Arial" w:cs="Arial"/>
                <w:b/>
                <w:color w:val="000000" w:themeColor="text1"/>
                <w:sz w:val="15"/>
                <w:szCs w:val="15"/>
              </w:rPr>
              <w:t>(</w:t>
            </w:r>
            <w:r w:rsidR="00E973DB">
              <w:rPr>
                <w:rFonts w:ascii="Arial" w:hAnsi="Arial" w:cs="Arial"/>
                <w:b/>
                <w:color w:val="000000" w:themeColor="text1"/>
                <w:sz w:val="15"/>
                <w:szCs w:val="15"/>
              </w:rPr>
              <w:t>6,69</w:t>
            </w:r>
            <w:r w:rsidR="00AA2FD1">
              <w:rPr>
                <w:rFonts w:ascii="Arial" w:hAnsi="Arial" w:cs="Arial"/>
                <w:b/>
                <w:color w:val="000000" w:themeColor="text1"/>
                <w:sz w:val="15"/>
                <w:szCs w:val="15"/>
              </w:rPr>
              <w:t>1,</w:t>
            </w:r>
            <w:r w:rsidR="00DD01EE">
              <w:rPr>
                <w:rFonts w:ascii="Arial" w:hAnsi="Arial" w:cs="Arial"/>
                <w:b/>
                <w:color w:val="000000" w:themeColor="text1"/>
                <w:sz w:val="15"/>
                <w:szCs w:val="15"/>
              </w:rPr>
              <w:t>957</w:t>
            </w:r>
            <w:r w:rsidRPr="00726F2E">
              <w:rPr>
                <w:rFonts w:ascii="Arial" w:hAnsi="Arial" w:cs="Arial"/>
                <w:b/>
                <w:color w:val="000000" w:themeColor="text1"/>
                <w:sz w:val="15"/>
                <w:szCs w:val="15"/>
              </w:rPr>
              <w:t>)</w:t>
            </w:r>
          </w:p>
        </w:tc>
        <w:tc>
          <w:tcPr>
            <w:tcW w:w="1210" w:type="dxa"/>
            <w:tcBorders>
              <w:top w:val="single" w:sz="4" w:space="0" w:color="auto"/>
              <w:bottom w:val="single" w:sz="4" w:space="0" w:color="auto"/>
            </w:tcBorders>
            <w:vAlign w:val="bottom"/>
          </w:tcPr>
          <w:p w14:paraId="6AFBD92B" w14:textId="4A5D49B4" w:rsidR="00DD12E2" w:rsidRPr="00726F2E" w:rsidRDefault="008155A8"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color w:val="000000" w:themeColor="text1"/>
                <w:sz w:val="15"/>
                <w:szCs w:val="15"/>
              </w:rPr>
            </w:pPr>
            <w:r w:rsidRPr="00726F2E">
              <w:rPr>
                <w:rFonts w:ascii="Arial" w:hAnsi="Arial" w:cs="Arial"/>
                <w:b/>
                <w:color w:val="000000" w:themeColor="text1"/>
                <w:sz w:val="15"/>
                <w:szCs w:val="15"/>
              </w:rPr>
              <w:t>(</w:t>
            </w:r>
            <w:r w:rsidR="00DD01EE">
              <w:rPr>
                <w:rFonts w:ascii="Arial" w:hAnsi="Arial" w:cs="Arial"/>
                <w:b/>
                <w:color w:val="000000" w:themeColor="text1"/>
                <w:sz w:val="15"/>
                <w:szCs w:val="15"/>
              </w:rPr>
              <w:t>26,036,851</w:t>
            </w:r>
            <w:r w:rsidRPr="00726F2E">
              <w:rPr>
                <w:rFonts w:ascii="Arial" w:hAnsi="Arial" w:cs="Arial"/>
                <w:b/>
                <w:color w:val="000000" w:themeColor="text1"/>
                <w:sz w:val="15"/>
                <w:szCs w:val="15"/>
              </w:rPr>
              <w:t>)</w:t>
            </w:r>
          </w:p>
        </w:tc>
        <w:tc>
          <w:tcPr>
            <w:tcW w:w="1261" w:type="dxa"/>
            <w:tcBorders>
              <w:top w:val="single" w:sz="4" w:space="0" w:color="auto"/>
              <w:bottom w:val="single" w:sz="4" w:space="0" w:color="auto"/>
            </w:tcBorders>
            <w:vAlign w:val="bottom"/>
          </w:tcPr>
          <w:p w14:paraId="5AC72BFF" w14:textId="2321F73C" w:rsidR="00DD12E2" w:rsidRPr="00D24CB8" w:rsidRDefault="00013833" w:rsidP="00DD12E2">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spacing w:before="60" w:after="60"/>
              <w:jc w:val="right"/>
              <w:rPr>
                <w:rFonts w:ascii="Arial" w:hAnsi="Arial" w:cs="Arial"/>
                <w:b/>
                <w:sz w:val="15"/>
                <w:szCs w:val="15"/>
              </w:rPr>
            </w:pPr>
            <w:r>
              <w:rPr>
                <w:rFonts w:ascii="Arial" w:hAnsi="Arial" w:cs="Arial"/>
                <w:b/>
                <w:sz w:val="15"/>
                <w:szCs w:val="15"/>
              </w:rPr>
              <w:t>35,667,099</w:t>
            </w:r>
          </w:p>
        </w:tc>
      </w:tr>
    </w:tbl>
    <w:p w14:paraId="7B8CBA8D" w14:textId="77777777" w:rsidR="00E33BAA" w:rsidRPr="00BB3DC8" w:rsidRDefault="00E33BAA" w:rsidP="002A3D69">
      <w:pPr>
        <w:tabs>
          <w:tab w:val="right" w:pos="9878"/>
        </w:tabs>
        <w:suppressAutoHyphens/>
        <w:jc w:val="both"/>
        <w:outlineLvl w:val="0"/>
        <w:rPr>
          <w:rFonts w:ascii="Arial" w:hAnsi="Arial" w:cs="Arial"/>
          <w:b/>
          <w:sz w:val="22"/>
          <w:szCs w:val="22"/>
        </w:rPr>
      </w:pPr>
    </w:p>
    <w:p w14:paraId="60DDB705" w14:textId="77777777" w:rsidR="00852085" w:rsidRPr="00BB3DC8" w:rsidRDefault="00852085" w:rsidP="00852085">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jc w:val="both"/>
        <w:rPr>
          <w:rFonts w:ascii="Arial" w:hAnsi="Arial" w:cs="Arial"/>
          <w:sz w:val="18"/>
          <w:szCs w:val="18"/>
        </w:rPr>
      </w:pPr>
    </w:p>
    <w:p w14:paraId="34C32823" w14:textId="77777777" w:rsidR="00492A73" w:rsidRPr="00BB3DC8" w:rsidRDefault="00492A73" w:rsidP="00852085">
      <w:pPr>
        <w:tabs>
          <w:tab w:val="left" w:pos="2185"/>
          <w:tab w:val="left" w:pos="2875"/>
          <w:tab w:val="left" w:pos="4485"/>
          <w:tab w:val="decimal" w:pos="4723"/>
          <w:tab w:val="left" w:pos="5175"/>
          <w:tab w:val="left" w:pos="5405"/>
          <w:tab w:val="decimal" w:pos="6019"/>
          <w:tab w:val="decimal" w:pos="7315"/>
          <w:tab w:val="decimal" w:pos="8611"/>
          <w:tab w:val="decimal" w:pos="9835"/>
        </w:tabs>
        <w:suppressAutoHyphens/>
        <w:jc w:val="both"/>
        <w:rPr>
          <w:rFonts w:ascii="Arial" w:hAnsi="Arial" w:cs="Arial"/>
          <w:sz w:val="18"/>
          <w:szCs w:val="18"/>
        </w:rPr>
      </w:pPr>
    </w:p>
    <w:p w14:paraId="3DE7A114" w14:textId="77777777" w:rsidR="00D401BC" w:rsidRPr="00DE58AD" w:rsidRDefault="00D52BB7" w:rsidP="00723484">
      <w:pPr>
        <w:tabs>
          <w:tab w:val="left" w:pos="1150"/>
          <w:tab w:val="right" w:pos="9878"/>
        </w:tabs>
        <w:suppressAutoHyphens/>
        <w:jc w:val="both"/>
        <w:outlineLvl w:val="0"/>
        <w:rPr>
          <w:rFonts w:ascii="Arial" w:hAnsi="Arial" w:cs="Arial"/>
          <w:b/>
          <w:sz w:val="22"/>
          <w:szCs w:val="22"/>
        </w:rPr>
      </w:pPr>
      <w:r w:rsidRPr="007F4A91">
        <w:rPr>
          <w:rFonts w:ascii="Arial" w:hAnsi="Arial" w:cs="Arial"/>
          <w:b/>
          <w:sz w:val="16"/>
          <w:szCs w:val="16"/>
        </w:rPr>
        <w:br w:type="page"/>
      </w:r>
      <w:r w:rsidR="00723484" w:rsidRPr="00DE58AD">
        <w:rPr>
          <w:rFonts w:ascii="Arial" w:hAnsi="Arial" w:cs="Arial"/>
          <w:b/>
          <w:sz w:val="22"/>
          <w:szCs w:val="22"/>
        </w:rPr>
        <w:lastRenderedPageBreak/>
        <w:t xml:space="preserve"> </w:t>
      </w:r>
    </w:p>
    <w:p w14:paraId="7A1B5859" w14:textId="77777777" w:rsidR="00D401BC" w:rsidRPr="00DE58AD" w:rsidRDefault="001D5700" w:rsidP="00D401BC">
      <w:pPr>
        <w:tabs>
          <w:tab w:val="right" w:pos="9878"/>
        </w:tabs>
        <w:suppressAutoHyphens/>
        <w:jc w:val="both"/>
        <w:outlineLvl w:val="0"/>
        <w:rPr>
          <w:rFonts w:ascii="Arial" w:hAnsi="Arial" w:cs="Arial"/>
          <w:b/>
          <w:sz w:val="22"/>
          <w:szCs w:val="22"/>
        </w:rPr>
      </w:pPr>
      <w:r>
        <w:rPr>
          <w:rFonts w:ascii="Arial" w:hAnsi="Arial" w:cs="Arial"/>
          <w:b/>
          <w:sz w:val="22"/>
          <w:szCs w:val="22"/>
        </w:rPr>
        <w:t xml:space="preserve">CONDENSED CONSOLIDATED </w:t>
      </w:r>
      <w:r w:rsidR="00D401BC" w:rsidRPr="00DE58AD">
        <w:rPr>
          <w:rFonts w:ascii="Arial" w:hAnsi="Arial" w:cs="Arial"/>
          <w:b/>
          <w:sz w:val="22"/>
          <w:szCs w:val="22"/>
        </w:rPr>
        <w:t>CASH FLOW STATEMENT</w:t>
      </w:r>
    </w:p>
    <w:p w14:paraId="0619579B" w14:textId="77777777" w:rsidR="00D401BC" w:rsidRPr="00DE58AD" w:rsidRDefault="00D401BC" w:rsidP="00D401BC">
      <w:pPr>
        <w:tabs>
          <w:tab w:val="right" w:pos="9878"/>
        </w:tabs>
        <w:suppressAutoHyphens/>
        <w:jc w:val="both"/>
        <w:outlineLvl w:val="0"/>
        <w:rPr>
          <w:rFonts w:ascii="Arial" w:hAnsi="Arial" w:cs="Arial"/>
          <w:b/>
          <w:sz w:val="22"/>
          <w:szCs w:val="22"/>
        </w:rPr>
      </w:pPr>
    </w:p>
    <w:p w14:paraId="15427FCC" w14:textId="77777777" w:rsidR="00D401BC" w:rsidRPr="00DE58AD" w:rsidRDefault="00D401BC" w:rsidP="00D401BC">
      <w:pPr>
        <w:tabs>
          <w:tab w:val="right" w:pos="9878"/>
        </w:tabs>
        <w:suppressAutoHyphens/>
        <w:jc w:val="both"/>
        <w:rPr>
          <w:rFonts w:ascii="Arial" w:hAnsi="Arial" w:cs="Arial"/>
          <w:b/>
          <w:sz w:val="18"/>
          <w:szCs w:val="18"/>
        </w:rPr>
      </w:pPr>
    </w:p>
    <w:tbl>
      <w:tblPr>
        <w:tblW w:w="10003" w:type="dxa"/>
        <w:tblLayout w:type="fixed"/>
        <w:tblLook w:val="00A0" w:firstRow="1" w:lastRow="0" w:firstColumn="1" w:lastColumn="0" w:noHBand="0" w:noVBand="0"/>
      </w:tblPr>
      <w:tblGrid>
        <w:gridCol w:w="6096"/>
        <w:gridCol w:w="567"/>
        <w:gridCol w:w="765"/>
        <w:gridCol w:w="1276"/>
        <w:gridCol w:w="1299"/>
      </w:tblGrid>
      <w:tr w:rsidR="00473E9F" w:rsidRPr="00D13BDD" w14:paraId="46315EBF" w14:textId="77777777" w:rsidTr="0025186C">
        <w:tc>
          <w:tcPr>
            <w:tcW w:w="6096" w:type="dxa"/>
            <w:tcBorders>
              <w:bottom w:val="single" w:sz="4" w:space="0" w:color="auto"/>
            </w:tcBorders>
          </w:tcPr>
          <w:p w14:paraId="332D6836"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both"/>
              <w:rPr>
                <w:rFonts w:ascii="Arial" w:hAnsi="Arial" w:cs="Arial"/>
                <w:b/>
                <w:sz w:val="18"/>
                <w:szCs w:val="18"/>
              </w:rPr>
            </w:pPr>
          </w:p>
        </w:tc>
        <w:tc>
          <w:tcPr>
            <w:tcW w:w="567" w:type="dxa"/>
            <w:tcBorders>
              <w:bottom w:val="single" w:sz="4" w:space="0" w:color="auto"/>
            </w:tcBorders>
          </w:tcPr>
          <w:p w14:paraId="7003B4CF"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both"/>
              <w:rPr>
                <w:rFonts w:ascii="Arial" w:hAnsi="Arial" w:cs="Arial"/>
                <w:sz w:val="16"/>
                <w:szCs w:val="16"/>
              </w:rPr>
            </w:pPr>
          </w:p>
        </w:tc>
        <w:tc>
          <w:tcPr>
            <w:tcW w:w="765" w:type="dxa"/>
            <w:tcBorders>
              <w:bottom w:val="single" w:sz="4" w:space="0" w:color="auto"/>
            </w:tcBorders>
          </w:tcPr>
          <w:p w14:paraId="593C5731" w14:textId="77777777" w:rsidR="00473E9F" w:rsidRPr="00DE58AD"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p>
        </w:tc>
        <w:tc>
          <w:tcPr>
            <w:tcW w:w="1276" w:type="dxa"/>
            <w:tcBorders>
              <w:bottom w:val="single" w:sz="4" w:space="0" w:color="auto"/>
            </w:tcBorders>
          </w:tcPr>
          <w:p w14:paraId="7AE9E583" w14:textId="23AA0D49" w:rsidR="00473E9F" w:rsidRPr="00AE651B"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6 months to 30 June 20</w:t>
            </w:r>
            <w:r w:rsidR="000575D9">
              <w:rPr>
                <w:rFonts w:ascii="Arial" w:hAnsi="Arial" w:cs="Arial"/>
                <w:b/>
                <w:sz w:val="16"/>
                <w:szCs w:val="16"/>
              </w:rPr>
              <w:t>2</w:t>
            </w:r>
            <w:r w:rsidR="00DD12E2">
              <w:rPr>
                <w:rFonts w:ascii="Arial" w:hAnsi="Arial" w:cs="Arial"/>
                <w:b/>
                <w:sz w:val="16"/>
                <w:szCs w:val="16"/>
              </w:rPr>
              <w:t>2</w:t>
            </w:r>
            <w:r>
              <w:rPr>
                <w:rFonts w:ascii="Arial" w:hAnsi="Arial" w:cs="Arial"/>
                <w:b/>
                <w:sz w:val="16"/>
                <w:szCs w:val="16"/>
              </w:rPr>
              <w:t xml:space="preserve"> Unaudited</w:t>
            </w:r>
          </w:p>
          <w:p w14:paraId="7A16D650" w14:textId="77777777" w:rsidR="00473E9F" w:rsidRPr="00DE58AD"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w:t>
            </w:r>
          </w:p>
        </w:tc>
        <w:tc>
          <w:tcPr>
            <w:tcW w:w="1299" w:type="dxa"/>
            <w:tcBorders>
              <w:bottom w:val="single" w:sz="4" w:space="0" w:color="auto"/>
            </w:tcBorders>
          </w:tcPr>
          <w:p w14:paraId="5928A17D" w14:textId="4DCC7D10" w:rsidR="00473E9F" w:rsidRPr="00AE651B"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6 months to 30 June 20</w:t>
            </w:r>
            <w:r w:rsidR="00E06E1E">
              <w:rPr>
                <w:rFonts w:ascii="Arial" w:hAnsi="Arial" w:cs="Arial"/>
                <w:b/>
                <w:sz w:val="16"/>
                <w:szCs w:val="16"/>
              </w:rPr>
              <w:t>2</w:t>
            </w:r>
            <w:r w:rsidR="00DD12E2">
              <w:rPr>
                <w:rFonts w:ascii="Arial" w:hAnsi="Arial" w:cs="Arial"/>
                <w:b/>
                <w:sz w:val="16"/>
                <w:szCs w:val="16"/>
              </w:rPr>
              <w:t>1</w:t>
            </w:r>
            <w:r>
              <w:rPr>
                <w:rFonts w:ascii="Arial" w:hAnsi="Arial" w:cs="Arial"/>
                <w:b/>
                <w:sz w:val="16"/>
                <w:szCs w:val="16"/>
              </w:rPr>
              <w:t xml:space="preserve"> Unaudited</w:t>
            </w:r>
          </w:p>
          <w:p w14:paraId="06C81DF1" w14:textId="77777777" w:rsidR="00473E9F"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Pr>
                <w:rFonts w:ascii="Arial" w:hAnsi="Arial" w:cs="Arial"/>
                <w:b/>
                <w:sz w:val="16"/>
                <w:szCs w:val="16"/>
              </w:rPr>
              <w:t>£</w:t>
            </w:r>
          </w:p>
        </w:tc>
      </w:tr>
      <w:tr w:rsidR="00473E9F" w:rsidRPr="00A13513" w14:paraId="4388CCA9" w14:textId="77777777" w:rsidTr="0025186C">
        <w:tc>
          <w:tcPr>
            <w:tcW w:w="6096" w:type="dxa"/>
            <w:tcBorders>
              <w:top w:val="single" w:sz="4" w:space="0" w:color="auto"/>
            </w:tcBorders>
            <w:vAlign w:val="bottom"/>
          </w:tcPr>
          <w:p w14:paraId="6F0CA811"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Cash flows from operating activities</w:t>
            </w:r>
          </w:p>
        </w:tc>
        <w:tc>
          <w:tcPr>
            <w:tcW w:w="567" w:type="dxa"/>
            <w:tcBorders>
              <w:top w:val="single" w:sz="4" w:space="0" w:color="auto"/>
            </w:tcBorders>
          </w:tcPr>
          <w:p w14:paraId="5398767B"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765" w:type="dxa"/>
            <w:tcBorders>
              <w:top w:val="single" w:sz="4" w:space="0" w:color="auto"/>
            </w:tcBorders>
          </w:tcPr>
          <w:p w14:paraId="1B063284"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p>
        </w:tc>
        <w:tc>
          <w:tcPr>
            <w:tcW w:w="1276" w:type="dxa"/>
            <w:tcBorders>
              <w:top w:val="single" w:sz="4" w:space="0" w:color="auto"/>
            </w:tcBorders>
          </w:tcPr>
          <w:p w14:paraId="57CC9FA9"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p>
        </w:tc>
        <w:tc>
          <w:tcPr>
            <w:tcW w:w="1299" w:type="dxa"/>
            <w:tcBorders>
              <w:top w:val="single" w:sz="4" w:space="0" w:color="auto"/>
            </w:tcBorders>
          </w:tcPr>
          <w:p w14:paraId="6015E897" w14:textId="77777777" w:rsidR="00473E9F" w:rsidRPr="0013247C" w:rsidRDefault="00473E9F" w:rsidP="00473E9F">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p>
        </w:tc>
      </w:tr>
      <w:tr w:rsidR="00DD12E2" w:rsidRPr="00A13513" w14:paraId="59392093" w14:textId="77777777" w:rsidTr="0025186C">
        <w:tc>
          <w:tcPr>
            <w:tcW w:w="6096" w:type="dxa"/>
            <w:vAlign w:val="bottom"/>
          </w:tcPr>
          <w:p w14:paraId="72204722" w14:textId="77777777" w:rsidR="00DD12E2" w:rsidRPr="0013247C"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Loss before taxation</w:t>
            </w:r>
          </w:p>
        </w:tc>
        <w:tc>
          <w:tcPr>
            <w:tcW w:w="567" w:type="dxa"/>
          </w:tcPr>
          <w:p w14:paraId="5B55D817"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074FC433"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1A2683D7" w14:textId="1C876B0E" w:rsidR="00DD12E2" w:rsidRPr="00AE26ED" w:rsidRDefault="00F35510"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(1,588,679)</w:t>
            </w:r>
          </w:p>
        </w:tc>
        <w:tc>
          <w:tcPr>
            <w:tcW w:w="1299" w:type="dxa"/>
            <w:vAlign w:val="bottom"/>
          </w:tcPr>
          <w:p w14:paraId="529C8221" w14:textId="21955B5E"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(1,368,937)</w:t>
            </w:r>
          </w:p>
        </w:tc>
      </w:tr>
      <w:tr w:rsidR="00E06E1E" w:rsidRPr="00A13513" w14:paraId="58D3313C" w14:textId="77777777" w:rsidTr="0025186C">
        <w:tc>
          <w:tcPr>
            <w:tcW w:w="6096" w:type="dxa"/>
            <w:vAlign w:val="bottom"/>
          </w:tcPr>
          <w:p w14:paraId="7FA39984" w14:textId="77777777" w:rsidR="00E06E1E" w:rsidRPr="0013247C" w:rsidRDefault="00E06E1E" w:rsidP="00E06E1E">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13247C">
              <w:rPr>
                <w:rFonts w:ascii="Arial" w:hAnsi="Arial" w:cs="Arial"/>
                <w:sz w:val="18"/>
                <w:szCs w:val="18"/>
              </w:rPr>
              <w:t>Adjustments for:</w:t>
            </w:r>
          </w:p>
        </w:tc>
        <w:tc>
          <w:tcPr>
            <w:tcW w:w="567" w:type="dxa"/>
          </w:tcPr>
          <w:p w14:paraId="42454F4B" w14:textId="77777777" w:rsidR="00E06E1E" w:rsidRPr="0013247C" w:rsidRDefault="00E06E1E" w:rsidP="00E06E1E">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77FFD146" w14:textId="77777777" w:rsidR="00E06E1E" w:rsidRPr="000E7545" w:rsidRDefault="00E06E1E" w:rsidP="00E06E1E">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2C0C7340" w14:textId="77777777" w:rsidR="00E06E1E" w:rsidRPr="00AE26ED" w:rsidRDefault="00E06E1E" w:rsidP="00E06E1E">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99" w:type="dxa"/>
            <w:vAlign w:val="bottom"/>
          </w:tcPr>
          <w:p w14:paraId="74AE2BCC" w14:textId="77777777" w:rsidR="00E06E1E" w:rsidRPr="000E7545" w:rsidRDefault="00E06E1E" w:rsidP="00E06E1E">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r>
      <w:tr w:rsidR="00DD12E2" w:rsidRPr="00A13513" w14:paraId="5312089B" w14:textId="77777777" w:rsidTr="0025186C">
        <w:trPr>
          <w:trHeight w:val="286"/>
        </w:trPr>
        <w:tc>
          <w:tcPr>
            <w:tcW w:w="6096" w:type="dxa"/>
            <w:vAlign w:val="bottom"/>
          </w:tcPr>
          <w:p w14:paraId="3914BC04" w14:textId="77777777" w:rsidR="00DD12E2" w:rsidRPr="0013247C"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13247C">
              <w:rPr>
                <w:rFonts w:ascii="Arial" w:hAnsi="Arial" w:cs="Arial"/>
                <w:sz w:val="18"/>
                <w:szCs w:val="18"/>
              </w:rPr>
              <w:t>Depreciation</w:t>
            </w:r>
          </w:p>
        </w:tc>
        <w:tc>
          <w:tcPr>
            <w:tcW w:w="567" w:type="dxa"/>
          </w:tcPr>
          <w:p w14:paraId="6B7DAA89"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4F0435BE"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6F8E8A1F" w14:textId="77232D08" w:rsidR="00DD12E2" w:rsidRPr="002A758E" w:rsidRDefault="0083543C"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w:t>
            </w:r>
            <w:r w:rsidR="00726F2E">
              <w:rPr>
                <w:rFonts w:ascii="Arial" w:hAnsi="Arial" w:cs="Arial"/>
                <w:sz w:val="18"/>
                <w:szCs w:val="18"/>
              </w:rPr>
              <w:t>83</w:t>
            </w:r>
            <w:r>
              <w:rPr>
                <w:rFonts w:ascii="Arial" w:hAnsi="Arial" w:cs="Arial"/>
                <w:sz w:val="18"/>
                <w:szCs w:val="18"/>
              </w:rPr>
              <w:t>,963</w:t>
            </w:r>
          </w:p>
        </w:tc>
        <w:tc>
          <w:tcPr>
            <w:tcW w:w="1299" w:type="dxa"/>
            <w:vAlign w:val="bottom"/>
          </w:tcPr>
          <w:p w14:paraId="4A55A7C5" w14:textId="1B838F68"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249,252</w:t>
            </w:r>
          </w:p>
        </w:tc>
      </w:tr>
      <w:tr w:rsidR="00DD12E2" w:rsidRPr="00A13513" w14:paraId="37CC938B" w14:textId="77777777" w:rsidTr="0025186C">
        <w:tc>
          <w:tcPr>
            <w:tcW w:w="6096" w:type="dxa"/>
            <w:vAlign w:val="bottom"/>
          </w:tcPr>
          <w:p w14:paraId="14C9C128" w14:textId="1222AA11"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 xml:space="preserve">Loss on sale of property, </w:t>
            </w:r>
            <w:proofErr w:type="gramStart"/>
            <w:r>
              <w:rPr>
                <w:rFonts w:ascii="Arial" w:hAnsi="Arial" w:cs="Arial"/>
                <w:sz w:val="18"/>
                <w:szCs w:val="18"/>
              </w:rPr>
              <w:t>plant</w:t>
            </w:r>
            <w:proofErr w:type="gramEnd"/>
            <w:r>
              <w:rPr>
                <w:rFonts w:ascii="Arial" w:hAnsi="Arial" w:cs="Arial"/>
                <w:sz w:val="18"/>
                <w:szCs w:val="18"/>
              </w:rPr>
              <w:t xml:space="preserve"> and equipment</w:t>
            </w:r>
          </w:p>
        </w:tc>
        <w:tc>
          <w:tcPr>
            <w:tcW w:w="567" w:type="dxa"/>
          </w:tcPr>
          <w:p w14:paraId="1B03C797" w14:textId="77777777" w:rsidR="00DD12E2" w:rsidRPr="00141597"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7B0CBE33" w14:textId="77777777" w:rsidR="00DD12E2" w:rsidRPr="00141597"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32E99C45" w14:textId="21215A3B"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c>
          <w:tcPr>
            <w:tcW w:w="1299" w:type="dxa"/>
            <w:vAlign w:val="bottom"/>
          </w:tcPr>
          <w:p w14:paraId="471CD2B7" w14:textId="178F4DEC" w:rsidR="00DD12E2" w:rsidRPr="002A758E"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32,979</w:t>
            </w:r>
          </w:p>
        </w:tc>
      </w:tr>
      <w:tr w:rsidR="004305CE" w:rsidRPr="00A13513" w14:paraId="1641B70D" w14:textId="77777777" w:rsidTr="00790E4B">
        <w:tc>
          <w:tcPr>
            <w:tcW w:w="6096" w:type="dxa"/>
            <w:vAlign w:val="bottom"/>
          </w:tcPr>
          <w:p w14:paraId="27BEAE8F" w14:textId="56E30792" w:rsidR="004305CE" w:rsidRPr="00141597" w:rsidRDefault="004305CE" w:rsidP="00790E4B">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Other non-cash adjustments</w:t>
            </w:r>
            <w:r w:rsidR="00EE4C4A">
              <w:rPr>
                <w:rFonts w:ascii="Arial" w:hAnsi="Arial" w:cs="Arial"/>
                <w:sz w:val="18"/>
                <w:szCs w:val="18"/>
              </w:rPr>
              <w:t>:</w:t>
            </w:r>
          </w:p>
        </w:tc>
        <w:tc>
          <w:tcPr>
            <w:tcW w:w="567" w:type="dxa"/>
          </w:tcPr>
          <w:p w14:paraId="593B6416" w14:textId="77777777" w:rsidR="004305CE" w:rsidRPr="00141597" w:rsidRDefault="004305CE" w:rsidP="00790E4B">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567B8C6A" w14:textId="77777777" w:rsidR="004305CE" w:rsidRPr="00141597" w:rsidRDefault="004305CE" w:rsidP="00790E4B">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5CC691FA" w14:textId="5EA64B1F" w:rsidR="004305CE" w:rsidRPr="002A758E" w:rsidRDefault="004305CE" w:rsidP="00790E4B">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99" w:type="dxa"/>
            <w:vAlign w:val="bottom"/>
          </w:tcPr>
          <w:p w14:paraId="48DB0AFF" w14:textId="2C9CD15C" w:rsidR="004305CE" w:rsidRDefault="004305CE" w:rsidP="00790E4B">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r>
      <w:tr w:rsidR="004305CE" w:rsidRPr="00A13513" w14:paraId="15C82E16" w14:textId="77777777" w:rsidTr="0025186C">
        <w:tc>
          <w:tcPr>
            <w:tcW w:w="6096" w:type="dxa"/>
            <w:vAlign w:val="bottom"/>
          </w:tcPr>
          <w:p w14:paraId="793CBE4A" w14:textId="21554F31" w:rsidR="004305CE" w:rsidRDefault="004305CE"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 xml:space="preserve">Share of </w:t>
            </w:r>
            <w:r w:rsidR="00EE4C4A">
              <w:rPr>
                <w:rFonts w:ascii="Arial" w:hAnsi="Arial" w:cs="Arial"/>
                <w:sz w:val="18"/>
                <w:szCs w:val="18"/>
              </w:rPr>
              <w:t xml:space="preserve">loss </w:t>
            </w:r>
            <w:r>
              <w:rPr>
                <w:rFonts w:ascii="Arial" w:hAnsi="Arial" w:cs="Arial"/>
                <w:sz w:val="18"/>
                <w:szCs w:val="18"/>
              </w:rPr>
              <w:t xml:space="preserve">from </w:t>
            </w:r>
            <w:r w:rsidR="00EE4C4A">
              <w:rPr>
                <w:rFonts w:ascii="Arial" w:hAnsi="Arial" w:cs="Arial"/>
                <w:sz w:val="18"/>
                <w:szCs w:val="18"/>
              </w:rPr>
              <w:t>JV</w:t>
            </w:r>
          </w:p>
        </w:tc>
        <w:tc>
          <w:tcPr>
            <w:tcW w:w="567" w:type="dxa"/>
          </w:tcPr>
          <w:p w14:paraId="2A5D11EC" w14:textId="77777777" w:rsidR="004305CE" w:rsidRPr="00141597" w:rsidRDefault="004305CE"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4F855A15" w14:textId="77777777" w:rsidR="004305CE" w:rsidRPr="00141597"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49DDBF2E" w14:textId="3BB04190" w:rsidR="004305CE" w:rsidDel="00DD12E2"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1,565,378</w:t>
            </w:r>
          </w:p>
        </w:tc>
        <w:tc>
          <w:tcPr>
            <w:tcW w:w="1299" w:type="dxa"/>
            <w:vAlign w:val="bottom"/>
          </w:tcPr>
          <w:p w14:paraId="5AFC2299" w14:textId="68847759" w:rsidR="004305C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r>
      <w:tr w:rsidR="00DD12E2" w:rsidRPr="00A13513" w14:paraId="416C70F0" w14:textId="77777777" w:rsidTr="0025186C">
        <w:tc>
          <w:tcPr>
            <w:tcW w:w="6096" w:type="dxa"/>
            <w:vAlign w:val="bottom"/>
          </w:tcPr>
          <w:p w14:paraId="3E4505E6" w14:textId="77777777"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Share based payments</w:t>
            </w:r>
          </w:p>
        </w:tc>
        <w:tc>
          <w:tcPr>
            <w:tcW w:w="567" w:type="dxa"/>
          </w:tcPr>
          <w:p w14:paraId="7900308D" w14:textId="77777777" w:rsidR="00DD12E2" w:rsidRPr="00141597"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175395EC" w14:textId="77777777" w:rsidR="00DD12E2" w:rsidRPr="00141597"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7CAB4C95" w14:textId="6FAD0AF5"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c>
          <w:tcPr>
            <w:tcW w:w="1299" w:type="dxa"/>
            <w:vAlign w:val="bottom"/>
          </w:tcPr>
          <w:p w14:paraId="52A5E5C4" w14:textId="5C8A49FF" w:rsidR="00DD12E2" w:rsidRPr="005F6D8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b/>
                <w:bCs/>
                <w:sz w:val="18"/>
                <w:szCs w:val="18"/>
              </w:rPr>
            </w:pPr>
            <w:r>
              <w:rPr>
                <w:rFonts w:ascii="Arial" w:hAnsi="Arial" w:cs="Arial"/>
                <w:sz w:val="18"/>
                <w:szCs w:val="18"/>
              </w:rPr>
              <w:t>655,870</w:t>
            </w:r>
          </w:p>
        </w:tc>
      </w:tr>
      <w:tr w:rsidR="00DD12E2" w:rsidRPr="00A13513" w14:paraId="6A04784C" w14:textId="77777777" w:rsidTr="0025186C">
        <w:tc>
          <w:tcPr>
            <w:tcW w:w="6096" w:type="dxa"/>
            <w:vAlign w:val="bottom"/>
          </w:tcPr>
          <w:p w14:paraId="7551419A" w14:textId="3F8F64DB" w:rsidR="00DD12E2" w:rsidRPr="0013247C" w:rsidRDefault="00EE4C4A"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(Increase)/</w:t>
            </w:r>
            <w:r w:rsidR="00DD12E2">
              <w:rPr>
                <w:rFonts w:ascii="Arial" w:hAnsi="Arial" w:cs="Arial"/>
                <w:sz w:val="18"/>
                <w:szCs w:val="18"/>
              </w:rPr>
              <w:t xml:space="preserve">Decrease </w:t>
            </w:r>
            <w:r w:rsidR="00DD12E2" w:rsidRPr="0013247C">
              <w:rPr>
                <w:rFonts w:ascii="Arial" w:hAnsi="Arial" w:cs="Arial"/>
                <w:sz w:val="18"/>
                <w:szCs w:val="18"/>
              </w:rPr>
              <w:t>in trade and other receivables</w:t>
            </w:r>
          </w:p>
        </w:tc>
        <w:tc>
          <w:tcPr>
            <w:tcW w:w="567" w:type="dxa"/>
          </w:tcPr>
          <w:p w14:paraId="494E95A6"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66CFDFF0"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4FCEE3D6" w14:textId="0A806AEF"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r w:rsidR="007C0C62">
              <w:rPr>
                <w:rFonts w:ascii="Arial" w:hAnsi="Arial" w:cs="Arial"/>
                <w:sz w:val="18"/>
                <w:szCs w:val="18"/>
              </w:rPr>
              <w:t>187</w:t>
            </w:r>
            <w:r>
              <w:rPr>
                <w:rFonts w:ascii="Arial" w:hAnsi="Arial" w:cs="Arial"/>
                <w:sz w:val="18"/>
                <w:szCs w:val="18"/>
              </w:rPr>
              <w:t>,</w:t>
            </w:r>
            <w:r w:rsidR="007C0C62">
              <w:rPr>
                <w:rFonts w:ascii="Arial" w:hAnsi="Arial" w:cs="Arial"/>
                <w:sz w:val="18"/>
                <w:szCs w:val="18"/>
              </w:rPr>
              <w:t>4</w:t>
            </w:r>
            <w:r w:rsidR="0094570B">
              <w:rPr>
                <w:rFonts w:ascii="Arial" w:hAnsi="Arial" w:cs="Arial"/>
                <w:sz w:val="18"/>
                <w:szCs w:val="18"/>
              </w:rPr>
              <w:t>3</w:t>
            </w:r>
            <w:r w:rsidR="007C0C62">
              <w:rPr>
                <w:rFonts w:ascii="Arial" w:hAnsi="Arial" w:cs="Arial"/>
                <w:sz w:val="18"/>
                <w:szCs w:val="18"/>
              </w:rPr>
              <w:t>8</w:t>
            </w:r>
            <w:r>
              <w:rPr>
                <w:rFonts w:ascii="Arial" w:hAnsi="Arial" w:cs="Arial"/>
                <w:sz w:val="18"/>
                <w:szCs w:val="18"/>
              </w:rPr>
              <w:t>)</w:t>
            </w:r>
          </w:p>
        </w:tc>
        <w:tc>
          <w:tcPr>
            <w:tcW w:w="1299" w:type="dxa"/>
            <w:vAlign w:val="bottom"/>
          </w:tcPr>
          <w:p w14:paraId="4F0766ED" w14:textId="1FBDC87A"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389,098</w:t>
            </w:r>
          </w:p>
        </w:tc>
      </w:tr>
      <w:tr w:rsidR="00DD12E2" w:rsidRPr="00A13513" w14:paraId="46046C2B" w14:textId="77777777" w:rsidTr="0025186C">
        <w:tc>
          <w:tcPr>
            <w:tcW w:w="6096" w:type="dxa"/>
            <w:vAlign w:val="bottom"/>
          </w:tcPr>
          <w:p w14:paraId="4887F285" w14:textId="60CBC638" w:rsidR="00DD12E2" w:rsidRPr="0013247C" w:rsidRDefault="00EE4C4A"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(Decrease)/</w:t>
            </w:r>
            <w:r w:rsidR="00DD12E2">
              <w:rPr>
                <w:rFonts w:ascii="Arial" w:hAnsi="Arial" w:cs="Arial"/>
                <w:sz w:val="18"/>
                <w:szCs w:val="18"/>
              </w:rPr>
              <w:t xml:space="preserve">Increase </w:t>
            </w:r>
            <w:r w:rsidR="00DD12E2" w:rsidRPr="0013247C">
              <w:rPr>
                <w:rFonts w:ascii="Arial" w:hAnsi="Arial" w:cs="Arial"/>
                <w:sz w:val="18"/>
                <w:szCs w:val="18"/>
              </w:rPr>
              <w:t>in trade and other payables</w:t>
            </w:r>
          </w:p>
        </w:tc>
        <w:tc>
          <w:tcPr>
            <w:tcW w:w="567" w:type="dxa"/>
          </w:tcPr>
          <w:p w14:paraId="226FBC46"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339688BF"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3108CD85" w14:textId="04802DC3"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(6</w:t>
            </w:r>
            <w:r w:rsidR="007C0C62">
              <w:rPr>
                <w:rFonts w:ascii="Arial" w:hAnsi="Arial" w:cs="Arial"/>
                <w:sz w:val="18"/>
                <w:szCs w:val="18"/>
              </w:rPr>
              <w:t>37,</w:t>
            </w:r>
            <w:r w:rsidR="00181A10">
              <w:rPr>
                <w:rFonts w:ascii="Arial" w:hAnsi="Arial" w:cs="Arial"/>
                <w:sz w:val="18"/>
                <w:szCs w:val="18"/>
              </w:rPr>
              <w:t>182</w:t>
            </w:r>
            <w:r>
              <w:rPr>
                <w:rFonts w:ascii="Arial" w:hAnsi="Arial" w:cs="Arial"/>
                <w:sz w:val="18"/>
                <w:szCs w:val="18"/>
              </w:rPr>
              <w:t>)</w:t>
            </w:r>
          </w:p>
        </w:tc>
        <w:tc>
          <w:tcPr>
            <w:tcW w:w="1299" w:type="dxa"/>
            <w:vAlign w:val="bottom"/>
          </w:tcPr>
          <w:p w14:paraId="39C141C1" w14:textId="18E56F12"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342,663</w:t>
            </w:r>
          </w:p>
        </w:tc>
      </w:tr>
      <w:tr w:rsidR="00DD12E2" w:rsidRPr="00A13513" w14:paraId="0E634526" w14:textId="77777777" w:rsidTr="0025186C">
        <w:tc>
          <w:tcPr>
            <w:tcW w:w="6096" w:type="dxa"/>
            <w:tcBorders>
              <w:top w:val="single" w:sz="4" w:space="0" w:color="auto"/>
              <w:bottom w:val="single" w:sz="4" w:space="0" w:color="auto"/>
            </w:tcBorders>
            <w:vAlign w:val="bottom"/>
          </w:tcPr>
          <w:p w14:paraId="32B68C68" w14:textId="44683608"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 xml:space="preserve">Net cash </w:t>
            </w:r>
            <w:r>
              <w:rPr>
                <w:rFonts w:ascii="Arial" w:hAnsi="Arial" w:cs="Arial"/>
                <w:b/>
                <w:sz w:val="18"/>
                <w:szCs w:val="18"/>
              </w:rPr>
              <w:t>generated (</w:t>
            </w:r>
            <w:r w:rsidRPr="0013247C">
              <w:rPr>
                <w:rFonts w:ascii="Arial" w:hAnsi="Arial" w:cs="Arial"/>
                <w:b/>
                <w:sz w:val="18"/>
                <w:szCs w:val="18"/>
              </w:rPr>
              <w:t>used in</w:t>
            </w:r>
            <w:r>
              <w:rPr>
                <w:rFonts w:ascii="Arial" w:hAnsi="Arial" w:cs="Arial"/>
                <w:b/>
                <w:sz w:val="18"/>
                <w:szCs w:val="18"/>
              </w:rPr>
              <w:t>)</w:t>
            </w:r>
            <w:r w:rsidR="00EE4C4A">
              <w:rPr>
                <w:rFonts w:ascii="Arial" w:hAnsi="Arial" w:cs="Arial"/>
                <w:b/>
                <w:sz w:val="18"/>
                <w:szCs w:val="18"/>
              </w:rPr>
              <w:t>/ from</w:t>
            </w:r>
            <w:r w:rsidRPr="0013247C">
              <w:rPr>
                <w:rFonts w:ascii="Arial" w:hAnsi="Arial" w:cs="Arial"/>
                <w:b/>
                <w:sz w:val="18"/>
                <w:szCs w:val="18"/>
              </w:rPr>
              <w:t xml:space="preserve"> operations</w:t>
            </w:r>
          </w:p>
        </w:tc>
        <w:tc>
          <w:tcPr>
            <w:tcW w:w="567" w:type="dxa"/>
            <w:tcBorders>
              <w:top w:val="single" w:sz="4" w:space="0" w:color="auto"/>
              <w:bottom w:val="single" w:sz="4" w:space="0" w:color="auto"/>
            </w:tcBorders>
          </w:tcPr>
          <w:p w14:paraId="20354301"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765" w:type="dxa"/>
            <w:tcBorders>
              <w:top w:val="single" w:sz="4" w:space="0" w:color="auto"/>
              <w:bottom w:val="single" w:sz="4" w:space="0" w:color="auto"/>
            </w:tcBorders>
          </w:tcPr>
          <w:p w14:paraId="3658534F" w14:textId="77777777" w:rsidR="00DD12E2" w:rsidRPr="000E7545" w:rsidRDefault="00DD12E2" w:rsidP="00DD12E2">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p>
        </w:tc>
        <w:tc>
          <w:tcPr>
            <w:tcW w:w="1276" w:type="dxa"/>
            <w:tcBorders>
              <w:top w:val="single" w:sz="4" w:space="0" w:color="auto"/>
              <w:bottom w:val="single" w:sz="4" w:space="0" w:color="auto"/>
            </w:tcBorders>
            <w:vAlign w:val="bottom"/>
          </w:tcPr>
          <w:p w14:paraId="7580BE49" w14:textId="733264C6" w:rsidR="00DD12E2" w:rsidRPr="002A758E" w:rsidRDefault="004305CE"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w:t>
            </w:r>
            <w:r w:rsidR="007C0C62">
              <w:rPr>
                <w:rFonts w:ascii="Arial" w:hAnsi="Arial" w:cs="Arial"/>
                <w:b/>
                <w:sz w:val="18"/>
                <w:szCs w:val="18"/>
              </w:rPr>
              <w:t>66</w:t>
            </w:r>
            <w:r w:rsidR="00181A10">
              <w:rPr>
                <w:rFonts w:ascii="Arial" w:hAnsi="Arial" w:cs="Arial"/>
                <w:b/>
                <w:sz w:val="18"/>
                <w:szCs w:val="18"/>
              </w:rPr>
              <w:t>3,9</w:t>
            </w:r>
            <w:r w:rsidR="002D2FE1">
              <w:rPr>
                <w:rFonts w:ascii="Arial" w:hAnsi="Arial" w:cs="Arial"/>
                <w:b/>
                <w:sz w:val="18"/>
                <w:szCs w:val="18"/>
              </w:rPr>
              <w:t>58</w:t>
            </w:r>
            <w:r>
              <w:rPr>
                <w:rFonts w:ascii="Arial" w:hAnsi="Arial" w:cs="Arial"/>
                <w:b/>
                <w:sz w:val="18"/>
                <w:szCs w:val="18"/>
              </w:rPr>
              <w:t>)</w:t>
            </w:r>
          </w:p>
        </w:tc>
        <w:tc>
          <w:tcPr>
            <w:tcW w:w="1299" w:type="dxa"/>
            <w:tcBorders>
              <w:top w:val="single" w:sz="4" w:space="0" w:color="auto"/>
              <w:bottom w:val="single" w:sz="4" w:space="0" w:color="auto"/>
            </w:tcBorders>
            <w:vAlign w:val="bottom"/>
          </w:tcPr>
          <w:p w14:paraId="6710E663" w14:textId="1D5F370D"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300,925</w:t>
            </w:r>
          </w:p>
        </w:tc>
      </w:tr>
      <w:tr w:rsidR="00DD12E2" w:rsidRPr="00A13513" w14:paraId="17B31781" w14:textId="77777777" w:rsidTr="0025186C">
        <w:tc>
          <w:tcPr>
            <w:tcW w:w="6096" w:type="dxa"/>
            <w:tcBorders>
              <w:top w:val="single" w:sz="4" w:space="0" w:color="auto"/>
            </w:tcBorders>
            <w:vAlign w:val="bottom"/>
          </w:tcPr>
          <w:p w14:paraId="11608CD6" w14:textId="77777777" w:rsidR="00DD12E2" w:rsidRPr="0013247C" w:rsidRDefault="00DD12E2" w:rsidP="00DD12E2">
            <w:pPr>
              <w:tabs>
                <w:tab w:val="decimal" w:pos="4723"/>
                <w:tab w:val="decimal" w:pos="6019"/>
                <w:tab w:val="decimal" w:pos="7315"/>
                <w:tab w:val="decimal" w:pos="8611"/>
                <w:tab w:val="decimal" w:pos="9878"/>
              </w:tabs>
              <w:suppressAutoHyphens/>
              <w:spacing w:before="120" w:after="60"/>
              <w:rPr>
                <w:rFonts w:ascii="Arial" w:hAnsi="Arial" w:cs="Arial"/>
                <w:b/>
                <w:sz w:val="18"/>
                <w:szCs w:val="18"/>
              </w:rPr>
            </w:pPr>
            <w:r w:rsidRPr="0013247C">
              <w:rPr>
                <w:rFonts w:ascii="Arial" w:hAnsi="Arial" w:cs="Arial"/>
                <w:b/>
                <w:sz w:val="18"/>
                <w:szCs w:val="18"/>
              </w:rPr>
              <w:t>Cash flows from investing activities</w:t>
            </w:r>
          </w:p>
        </w:tc>
        <w:tc>
          <w:tcPr>
            <w:tcW w:w="567" w:type="dxa"/>
            <w:tcBorders>
              <w:top w:val="single" w:sz="4" w:space="0" w:color="auto"/>
            </w:tcBorders>
          </w:tcPr>
          <w:p w14:paraId="4007B2E7"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Borders>
              <w:top w:val="single" w:sz="4" w:space="0" w:color="auto"/>
            </w:tcBorders>
          </w:tcPr>
          <w:p w14:paraId="02671480"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tcBorders>
              <w:top w:val="single" w:sz="4" w:space="0" w:color="auto"/>
            </w:tcBorders>
            <w:vAlign w:val="bottom"/>
          </w:tcPr>
          <w:p w14:paraId="478A180A" w14:textId="77777777" w:rsidR="00DD12E2" w:rsidRPr="002A758E"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b/>
                <w:sz w:val="18"/>
                <w:szCs w:val="18"/>
              </w:rPr>
            </w:pPr>
          </w:p>
        </w:tc>
        <w:tc>
          <w:tcPr>
            <w:tcW w:w="1299" w:type="dxa"/>
            <w:tcBorders>
              <w:top w:val="single" w:sz="4" w:space="0" w:color="auto"/>
            </w:tcBorders>
            <w:vAlign w:val="bottom"/>
          </w:tcPr>
          <w:p w14:paraId="17C9118D"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r>
      <w:tr w:rsidR="00DD12E2" w14:paraId="5C450FAC" w14:textId="77777777" w:rsidTr="0025186C">
        <w:tc>
          <w:tcPr>
            <w:tcW w:w="6096" w:type="dxa"/>
            <w:vAlign w:val="bottom"/>
          </w:tcPr>
          <w:p w14:paraId="4C997C11" w14:textId="77777777"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 xml:space="preserve">Purchase of property, </w:t>
            </w:r>
            <w:proofErr w:type="gramStart"/>
            <w:r>
              <w:rPr>
                <w:rFonts w:ascii="Arial" w:hAnsi="Arial" w:cs="Arial"/>
                <w:sz w:val="18"/>
                <w:szCs w:val="18"/>
              </w:rPr>
              <w:t>plant</w:t>
            </w:r>
            <w:proofErr w:type="gramEnd"/>
            <w:r>
              <w:rPr>
                <w:rFonts w:ascii="Arial" w:hAnsi="Arial" w:cs="Arial"/>
                <w:sz w:val="18"/>
                <w:szCs w:val="18"/>
              </w:rPr>
              <w:t xml:space="preserve"> and equipment</w:t>
            </w:r>
          </w:p>
        </w:tc>
        <w:tc>
          <w:tcPr>
            <w:tcW w:w="567" w:type="dxa"/>
          </w:tcPr>
          <w:p w14:paraId="3739679A"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3048471A" w14:textId="7777777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5FDC8736" w14:textId="7FAFFB79"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(243,514)</w:t>
            </w:r>
          </w:p>
        </w:tc>
        <w:tc>
          <w:tcPr>
            <w:tcW w:w="1299" w:type="dxa"/>
            <w:vAlign w:val="bottom"/>
          </w:tcPr>
          <w:p w14:paraId="2A3C097F" w14:textId="1D4F4BEB"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(10,836)</w:t>
            </w:r>
          </w:p>
        </w:tc>
      </w:tr>
      <w:tr w:rsidR="00DD12E2" w14:paraId="4FEB94FF" w14:textId="77777777" w:rsidTr="0025186C">
        <w:tc>
          <w:tcPr>
            <w:tcW w:w="6096" w:type="dxa"/>
            <w:vAlign w:val="bottom"/>
          </w:tcPr>
          <w:p w14:paraId="60771EB6" w14:textId="77777777"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 xml:space="preserve">Proceeds from sale of property, </w:t>
            </w:r>
            <w:proofErr w:type="gramStart"/>
            <w:r>
              <w:rPr>
                <w:rFonts w:ascii="Arial" w:hAnsi="Arial" w:cs="Arial"/>
                <w:sz w:val="18"/>
                <w:szCs w:val="18"/>
              </w:rPr>
              <w:t>plant</w:t>
            </w:r>
            <w:proofErr w:type="gramEnd"/>
            <w:r>
              <w:rPr>
                <w:rFonts w:ascii="Arial" w:hAnsi="Arial" w:cs="Arial"/>
                <w:sz w:val="18"/>
                <w:szCs w:val="18"/>
              </w:rPr>
              <w:t xml:space="preserve"> and equipment</w:t>
            </w:r>
          </w:p>
        </w:tc>
        <w:tc>
          <w:tcPr>
            <w:tcW w:w="567" w:type="dxa"/>
          </w:tcPr>
          <w:p w14:paraId="54E2152A"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0052DF6D" w14:textId="7777777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0652130C" w14:textId="1B5F7698"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24,119</w:t>
            </w:r>
          </w:p>
        </w:tc>
        <w:tc>
          <w:tcPr>
            <w:tcW w:w="1299" w:type="dxa"/>
            <w:vAlign w:val="bottom"/>
          </w:tcPr>
          <w:p w14:paraId="15B15A8D" w14:textId="38555519"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150,330</w:t>
            </w:r>
          </w:p>
        </w:tc>
      </w:tr>
      <w:tr w:rsidR="00DD12E2" w14:paraId="7BD44954" w14:textId="77777777" w:rsidTr="0025186C">
        <w:tc>
          <w:tcPr>
            <w:tcW w:w="6096" w:type="dxa"/>
            <w:vAlign w:val="bottom"/>
          </w:tcPr>
          <w:p w14:paraId="1BBFD005" w14:textId="77777777"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Interest received</w:t>
            </w:r>
          </w:p>
        </w:tc>
        <w:tc>
          <w:tcPr>
            <w:tcW w:w="567" w:type="dxa"/>
          </w:tcPr>
          <w:p w14:paraId="289C15A7"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06F7663D" w14:textId="7777777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5C19D8F9" w14:textId="0CECBFE2"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1,424</w:t>
            </w:r>
          </w:p>
        </w:tc>
        <w:tc>
          <w:tcPr>
            <w:tcW w:w="1299" w:type="dxa"/>
            <w:vAlign w:val="bottom"/>
          </w:tcPr>
          <w:p w14:paraId="66A5A5BE" w14:textId="7189FD5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1,546</w:t>
            </w:r>
          </w:p>
        </w:tc>
      </w:tr>
      <w:tr w:rsidR="00DD12E2" w14:paraId="380DDB79" w14:textId="77777777" w:rsidTr="0025186C">
        <w:tc>
          <w:tcPr>
            <w:tcW w:w="6096" w:type="dxa"/>
            <w:vAlign w:val="bottom"/>
          </w:tcPr>
          <w:p w14:paraId="1A0E1D85" w14:textId="77777777" w:rsidR="00DD12E2" w:rsidRPr="0013247C"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Purchase of intangible assets</w:t>
            </w:r>
          </w:p>
        </w:tc>
        <w:tc>
          <w:tcPr>
            <w:tcW w:w="567" w:type="dxa"/>
          </w:tcPr>
          <w:p w14:paraId="2A8F307D"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5243F597" w14:textId="7777777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143174F4" w14:textId="3B682AF6" w:rsidR="00DD12E2" w:rsidRPr="002A758E" w:rsidRDefault="004305CE"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(2,</w:t>
            </w:r>
            <w:r w:rsidR="007C0C62">
              <w:rPr>
                <w:rFonts w:ascii="Arial" w:hAnsi="Arial" w:cs="Arial"/>
                <w:sz w:val="18"/>
                <w:szCs w:val="18"/>
              </w:rPr>
              <w:t>075,719</w:t>
            </w:r>
            <w:r>
              <w:rPr>
                <w:rFonts w:ascii="Arial" w:hAnsi="Arial" w:cs="Arial"/>
                <w:sz w:val="18"/>
                <w:szCs w:val="18"/>
              </w:rPr>
              <w:t>)</w:t>
            </w:r>
          </w:p>
        </w:tc>
        <w:tc>
          <w:tcPr>
            <w:tcW w:w="1299" w:type="dxa"/>
            <w:vAlign w:val="bottom"/>
          </w:tcPr>
          <w:p w14:paraId="486078FA" w14:textId="5CD22A15"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(1,095,841)</w:t>
            </w:r>
          </w:p>
        </w:tc>
      </w:tr>
      <w:tr w:rsidR="00DD12E2" w:rsidRPr="00A13513" w14:paraId="5FC0F590" w14:textId="77777777" w:rsidTr="0025186C">
        <w:tc>
          <w:tcPr>
            <w:tcW w:w="6096" w:type="dxa"/>
            <w:tcBorders>
              <w:top w:val="single" w:sz="4" w:space="0" w:color="auto"/>
              <w:bottom w:val="single" w:sz="4" w:space="0" w:color="auto"/>
            </w:tcBorders>
            <w:vAlign w:val="bottom"/>
          </w:tcPr>
          <w:p w14:paraId="06A983D5"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 xml:space="preserve">Net cash </w:t>
            </w:r>
            <w:r>
              <w:rPr>
                <w:rFonts w:ascii="Arial" w:hAnsi="Arial" w:cs="Arial"/>
                <w:b/>
                <w:sz w:val="18"/>
                <w:szCs w:val="18"/>
              </w:rPr>
              <w:t xml:space="preserve">used in </w:t>
            </w:r>
            <w:r w:rsidRPr="0013247C">
              <w:rPr>
                <w:rFonts w:ascii="Arial" w:hAnsi="Arial" w:cs="Arial"/>
                <w:b/>
                <w:sz w:val="18"/>
                <w:szCs w:val="18"/>
              </w:rPr>
              <w:t>investing activities</w:t>
            </w:r>
          </w:p>
        </w:tc>
        <w:tc>
          <w:tcPr>
            <w:tcW w:w="567" w:type="dxa"/>
            <w:tcBorders>
              <w:top w:val="single" w:sz="4" w:space="0" w:color="auto"/>
              <w:bottom w:val="single" w:sz="4" w:space="0" w:color="auto"/>
            </w:tcBorders>
          </w:tcPr>
          <w:p w14:paraId="303331CF"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jc w:val="center"/>
              <w:rPr>
                <w:rFonts w:ascii="Arial" w:hAnsi="Arial" w:cs="Arial"/>
                <w:sz w:val="18"/>
                <w:szCs w:val="18"/>
              </w:rPr>
            </w:pPr>
          </w:p>
        </w:tc>
        <w:tc>
          <w:tcPr>
            <w:tcW w:w="765" w:type="dxa"/>
            <w:tcBorders>
              <w:top w:val="single" w:sz="4" w:space="0" w:color="auto"/>
              <w:bottom w:val="single" w:sz="4" w:space="0" w:color="auto"/>
            </w:tcBorders>
          </w:tcPr>
          <w:p w14:paraId="370AAB37" w14:textId="77777777" w:rsidR="00DD12E2" w:rsidRPr="000E7545" w:rsidRDefault="00DD12E2" w:rsidP="00DD12E2">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p>
        </w:tc>
        <w:tc>
          <w:tcPr>
            <w:tcW w:w="1276" w:type="dxa"/>
            <w:tcBorders>
              <w:top w:val="single" w:sz="4" w:space="0" w:color="auto"/>
              <w:bottom w:val="single" w:sz="4" w:space="0" w:color="auto"/>
            </w:tcBorders>
            <w:vAlign w:val="bottom"/>
          </w:tcPr>
          <w:p w14:paraId="2F572EBB" w14:textId="40FF0212" w:rsidR="00DD12E2" w:rsidRPr="002A758E" w:rsidRDefault="007F0B85"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(2,2</w:t>
            </w:r>
            <w:r w:rsidR="006F21DC">
              <w:rPr>
                <w:rFonts w:ascii="Arial" w:hAnsi="Arial" w:cs="Arial"/>
                <w:b/>
                <w:sz w:val="18"/>
                <w:szCs w:val="18"/>
              </w:rPr>
              <w:t>93,690</w:t>
            </w:r>
            <w:r>
              <w:rPr>
                <w:rFonts w:ascii="Arial" w:hAnsi="Arial" w:cs="Arial"/>
                <w:b/>
                <w:sz w:val="18"/>
                <w:szCs w:val="18"/>
              </w:rPr>
              <w:t>)</w:t>
            </w:r>
          </w:p>
        </w:tc>
        <w:tc>
          <w:tcPr>
            <w:tcW w:w="1299" w:type="dxa"/>
            <w:tcBorders>
              <w:top w:val="single" w:sz="4" w:space="0" w:color="auto"/>
              <w:bottom w:val="single" w:sz="4" w:space="0" w:color="auto"/>
            </w:tcBorders>
            <w:vAlign w:val="bottom"/>
          </w:tcPr>
          <w:p w14:paraId="3EA875EE" w14:textId="2104D424"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(954,801)</w:t>
            </w:r>
          </w:p>
        </w:tc>
      </w:tr>
      <w:tr w:rsidR="00DD12E2" w:rsidRPr="00A13513" w14:paraId="7FF67C53" w14:textId="77777777" w:rsidTr="0025186C">
        <w:tc>
          <w:tcPr>
            <w:tcW w:w="6096" w:type="dxa"/>
            <w:tcBorders>
              <w:top w:val="single" w:sz="4" w:space="0" w:color="auto"/>
            </w:tcBorders>
            <w:vAlign w:val="bottom"/>
          </w:tcPr>
          <w:p w14:paraId="089987CE" w14:textId="77777777" w:rsidR="00DD12E2" w:rsidRPr="0013247C" w:rsidRDefault="00DD12E2" w:rsidP="00DD12E2">
            <w:pPr>
              <w:tabs>
                <w:tab w:val="decimal" w:pos="4723"/>
                <w:tab w:val="decimal" w:pos="6019"/>
                <w:tab w:val="decimal" w:pos="7315"/>
                <w:tab w:val="decimal" w:pos="8611"/>
                <w:tab w:val="decimal" w:pos="9878"/>
              </w:tabs>
              <w:suppressAutoHyphens/>
              <w:spacing w:before="120" w:after="60"/>
              <w:rPr>
                <w:rFonts w:ascii="Arial" w:hAnsi="Arial" w:cs="Arial"/>
                <w:b/>
                <w:sz w:val="18"/>
                <w:szCs w:val="18"/>
              </w:rPr>
            </w:pPr>
            <w:r w:rsidRPr="0013247C">
              <w:rPr>
                <w:rFonts w:ascii="Arial" w:hAnsi="Arial" w:cs="Arial"/>
                <w:b/>
                <w:sz w:val="18"/>
                <w:szCs w:val="18"/>
              </w:rPr>
              <w:t>Cash flows from financing activities</w:t>
            </w:r>
          </w:p>
        </w:tc>
        <w:tc>
          <w:tcPr>
            <w:tcW w:w="567" w:type="dxa"/>
            <w:tcBorders>
              <w:top w:val="single" w:sz="4" w:space="0" w:color="auto"/>
            </w:tcBorders>
          </w:tcPr>
          <w:p w14:paraId="04FBB24C" w14:textId="77777777" w:rsidR="00DD12E2" w:rsidRPr="0013247C" w:rsidRDefault="00DD12E2" w:rsidP="00DD12E2">
            <w:pPr>
              <w:tabs>
                <w:tab w:val="decimal" w:pos="4723"/>
                <w:tab w:val="decimal" w:pos="6019"/>
                <w:tab w:val="decimal" w:pos="7315"/>
                <w:tab w:val="decimal" w:pos="8611"/>
                <w:tab w:val="decimal" w:pos="9878"/>
              </w:tabs>
              <w:suppressAutoHyphens/>
              <w:spacing w:before="120" w:after="60"/>
              <w:jc w:val="center"/>
              <w:rPr>
                <w:rFonts w:ascii="Arial" w:hAnsi="Arial" w:cs="Arial"/>
                <w:sz w:val="18"/>
                <w:szCs w:val="18"/>
              </w:rPr>
            </w:pPr>
          </w:p>
        </w:tc>
        <w:tc>
          <w:tcPr>
            <w:tcW w:w="765" w:type="dxa"/>
            <w:tcBorders>
              <w:top w:val="single" w:sz="4" w:space="0" w:color="auto"/>
            </w:tcBorders>
          </w:tcPr>
          <w:p w14:paraId="46F3B386" w14:textId="77777777" w:rsidR="00DD12E2" w:rsidRPr="000E7545" w:rsidRDefault="00DD12E2" w:rsidP="00DD12E2">
            <w:pPr>
              <w:tabs>
                <w:tab w:val="decimal" w:pos="4723"/>
                <w:tab w:val="decimal" w:pos="6019"/>
                <w:tab w:val="decimal" w:pos="7315"/>
                <w:tab w:val="decimal" w:pos="8611"/>
                <w:tab w:val="decimal" w:pos="9878"/>
              </w:tabs>
              <w:suppressAutoHyphens/>
              <w:spacing w:before="120" w:after="60"/>
              <w:jc w:val="right"/>
              <w:rPr>
                <w:rFonts w:ascii="Arial" w:hAnsi="Arial" w:cs="Arial"/>
                <w:sz w:val="18"/>
                <w:szCs w:val="18"/>
              </w:rPr>
            </w:pPr>
          </w:p>
        </w:tc>
        <w:tc>
          <w:tcPr>
            <w:tcW w:w="1276" w:type="dxa"/>
            <w:tcBorders>
              <w:top w:val="single" w:sz="4" w:space="0" w:color="auto"/>
            </w:tcBorders>
            <w:vAlign w:val="bottom"/>
          </w:tcPr>
          <w:p w14:paraId="0E3AF213" w14:textId="77777777" w:rsidR="00DD12E2" w:rsidRPr="002A758E" w:rsidRDefault="00DD12E2" w:rsidP="00DD12E2">
            <w:pPr>
              <w:tabs>
                <w:tab w:val="decimal" w:pos="4723"/>
                <w:tab w:val="decimal" w:pos="6019"/>
                <w:tab w:val="decimal" w:pos="7315"/>
                <w:tab w:val="decimal" w:pos="8611"/>
                <w:tab w:val="decimal" w:pos="9878"/>
              </w:tabs>
              <w:suppressAutoHyphens/>
              <w:spacing w:before="120" w:after="60"/>
              <w:jc w:val="right"/>
              <w:rPr>
                <w:rFonts w:ascii="Arial" w:hAnsi="Arial" w:cs="Arial"/>
                <w:b/>
                <w:sz w:val="18"/>
                <w:szCs w:val="18"/>
              </w:rPr>
            </w:pPr>
          </w:p>
        </w:tc>
        <w:tc>
          <w:tcPr>
            <w:tcW w:w="1299" w:type="dxa"/>
            <w:tcBorders>
              <w:top w:val="single" w:sz="4" w:space="0" w:color="auto"/>
            </w:tcBorders>
            <w:vAlign w:val="bottom"/>
          </w:tcPr>
          <w:p w14:paraId="066586F1"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r>
      <w:tr w:rsidR="007F0B85" w:rsidRPr="00A13513" w14:paraId="14EE6141" w14:textId="77777777" w:rsidTr="0025186C">
        <w:tc>
          <w:tcPr>
            <w:tcW w:w="6096" w:type="dxa"/>
            <w:vAlign w:val="bottom"/>
          </w:tcPr>
          <w:p w14:paraId="3D36DFC7" w14:textId="2EC341E3" w:rsidR="007F0B85" w:rsidRDefault="007F0B85"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7F0B85">
              <w:rPr>
                <w:rFonts w:ascii="Arial" w:hAnsi="Arial" w:cs="Arial"/>
                <w:sz w:val="18"/>
                <w:szCs w:val="18"/>
              </w:rPr>
              <w:t>Proceeds from share issues</w:t>
            </w:r>
          </w:p>
        </w:tc>
        <w:tc>
          <w:tcPr>
            <w:tcW w:w="567" w:type="dxa"/>
          </w:tcPr>
          <w:p w14:paraId="7D33AA68" w14:textId="77777777" w:rsidR="007F0B85" w:rsidRPr="0013247C" w:rsidRDefault="007F0B85"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421D652C" w14:textId="77777777" w:rsidR="007F0B85" w:rsidRPr="000E7545"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7CBF1987" w14:textId="0FCFBD80" w:rsidR="007F0B85" w:rsidDel="00DD12E2"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5,</w:t>
            </w:r>
            <w:r w:rsidR="00565904">
              <w:rPr>
                <w:rFonts w:ascii="Arial" w:hAnsi="Arial" w:cs="Arial"/>
                <w:sz w:val="18"/>
                <w:szCs w:val="18"/>
              </w:rPr>
              <w:t>380,000</w:t>
            </w:r>
          </w:p>
        </w:tc>
        <w:tc>
          <w:tcPr>
            <w:tcW w:w="1299" w:type="dxa"/>
            <w:vAlign w:val="bottom"/>
          </w:tcPr>
          <w:p w14:paraId="4A435A5C" w14:textId="0BD73219" w:rsidR="007F0B85"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r>
      <w:tr w:rsidR="007F0B85" w:rsidRPr="00A13513" w14:paraId="0E8FAC4F" w14:textId="77777777" w:rsidTr="0025186C">
        <w:tc>
          <w:tcPr>
            <w:tcW w:w="6096" w:type="dxa"/>
            <w:vAlign w:val="bottom"/>
          </w:tcPr>
          <w:p w14:paraId="2B7AC86E" w14:textId="5CA9A4EE" w:rsidR="007F0B85" w:rsidRDefault="007F0B85"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sidRPr="007F0B85">
              <w:rPr>
                <w:rFonts w:ascii="Arial" w:hAnsi="Arial" w:cs="Arial"/>
                <w:sz w:val="18"/>
                <w:szCs w:val="18"/>
              </w:rPr>
              <w:t>Cost of share issues</w:t>
            </w:r>
          </w:p>
        </w:tc>
        <w:tc>
          <w:tcPr>
            <w:tcW w:w="567" w:type="dxa"/>
          </w:tcPr>
          <w:p w14:paraId="2067F483" w14:textId="77777777" w:rsidR="007F0B85" w:rsidRPr="0013247C" w:rsidRDefault="007F0B85"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4F1C032E" w14:textId="77777777" w:rsidR="007F0B85" w:rsidRPr="000E7545"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00B2E165" w14:textId="1E2252D2" w:rsidR="007F0B85" w:rsidDel="00DD12E2"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(174,330)</w:t>
            </w:r>
          </w:p>
        </w:tc>
        <w:tc>
          <w:tcPr>
            <w:tcW w:w="1299" w:type="dxa"/>
            <w:vAlign w:val="bottom"/>
          </w:tcPr>
          <w:p w14:paraId="697D7F75" w14:textId="06BAEEE1" w:rsidR="007F0B85" w:rsidRDefault="007F0B85"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r>
      <w:tr w:rsidR="00DD12E2" w:rsidRPr="00A13513" w14:paraId="4317A8FA" w14:textId="77777777" w:rsidTr="0025186C">
        <w:tc>
          <w:tcPr>
            <w:tcW w:w="6096" w:type="dxa"/>
            <w:vAlign w:val="bottom"/>
          </w:tcPr>
          <w:p w14:paraId="2E0C85DF" w14:textId="77777777" w:rsidR="00DD12E2" w:rsidRDefault="00DD12E2" w:rsidP="00DD12E2">
            <w:pPr>
              <w:tabs>
                <w:tab w:val="decimal" w:pos="4723"/>
                <w:tab w:val="decimal" w:pos="6019"/>
                <w:tab w:val="decimal" w:pos="7315"/>
                <w:tab w:val="decimal" w:pos="8611"/>
                <w:tab w:val="decimal" w:pos="9878"/>
              </w:tabs>
              <w:suppressAutoHyphens/>
              <w:spacing w:after="60"/>
              <w:rPr>
                <w:rFonts w:ascii="Arial" w:hAnsi="Arial" w:cs="Arial"/>
                <w:sz w:val="18"/>
                <w:szCs w:val="18"/>
              </w:rPr>
            </w:pPr>
            <w:r>
              <w:rPr>
                <w:rFonts w:ascii="Arial" w:hAnsi="Arial" w:cs="Arial"/>
                <w:sz w:val="18"/>
                <w:szCs w:val="18"/>
              </w:rPr>
              <w:t>Repayment of borrowings</w:t>
            </w:r>
          </w:p>
        </w:tc>
        <w:tc>
          <w:tcPr>
            <w:tcW w:w="567" w:type="dxa"/>
          </w:tcPr>
          <w:p w14:paraId="31789075" w14:textId="77777777" w:rsidR="00DD12E2" w:rsidRPr="0013247C" w:rsidRDefault="00DD12E2" w:rsidP="00DD12E2">
            <w:pPr>
              <w:tabs>
                <w:tab w:val="decimal" w:pos="4723"/>
                <w:tab w:val="decimal" w:pos="6019"/>
                <w:tab w:val="decimal" w:pos="7315"/>
                <w:tab w:val="decimal" w:pos="8611"/>
                <w:tab w:val="decimal" w:pos="9878"/>
              </w:tabs>
              <w:suppressAutoHyphens/>
              <w:spacing w:after="60"/>
              <w:jc w:val="center"/>
              <w:rPr>
                <w:rFonts w:ascii="Arial" w:hAnsi="Arial" w:cs="Arial"/>
                <w:sz w:val="18"/>
                <w:szCs w:val="18"/>
              </w:rPr>
            </w:pPr>
          </w:p>
        </w:tc>
        <w:tc>
          <w:tcPr>
            <w:tcW w:w="765" w:type="dxa"/>
          </w:tcPr>
          <w:p w14:paraId="794AA72D" w14:textId="77777777" w:rsidR="00DD12E2" w:rsidRPr="000E7545"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p>
        </w:tc>
        <w:tc>
          <w:tcPr>
            <w:tcW w:w="1276" w:type="dxa"/>
            <w:vAlign w:val="bottom"/>
          </w:tcPr>
          <w:p w14:paraId="3FFC5EE9" w14:textId="514B3475" w:rsidR="00DD12E2" w:rsidRPr="002A758E"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w:t>
            </w:r>
          </w:p>
        </w:tc>
        <w:tc>
          <w:tcPr>
            <w:tcW w:w="1299" w:type="dxa"/>
            <w:vAlign w:val="bottom"/>
          </w:tcPr>
          <w:p w14:paraId="4FD1EA55" w14:textId="4D283C01"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(41,324)</w:t>
            </w:r>
          </w:p>
        </w:tc>
      </w:tr>
      <w:tr w:rsidR="00DD12E2" w:rsidRPr="00A13513" w14:paraId="26445E08" w14:textId="77777777" w:rsidTr="0025186C">
        <w:tc>
          <w:tcPr>
            <w:tcW w:w="6096" w:type="dxa"/>
            <w:tcBorders>
              <w:top w:val="single" w:sz="4" w:space="0" w:color="auto"/>
              <w:bottom w:val="single" w:sz="4" w:space="0" w:color="auto"/>
            </w:tcBorders>
            <w:vAlign w:val="bottom"/>
          </w:tcPr>
          <w:p w14:paraId="7DBA6073"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 xml:space="preserve">Net cash </w:t>
            </w:r>
            <w:r>
              <w:rPr>
                <w:rFonts w:ascii="Arial" w:hAnsi="Arial" w:cs="Arial"/>
                <w:b/>
                <w:sz w:val="18"/>
                <w:szCs w:val="18"/>
              </w:rPr>
              <w:t>used in</w:t>
            </w:r>
            <w:r w:rsidRPr="0013247C">
              <w:rPr>
                <w:rFonts w:ascii="Arial" w:hAnsi="Arial" w:cs="Arial"/>
                <w:b/>
                <w:sz w:val="18"/>
                <w:szCs w:val="18"/>
              </w:rPr>
              <w:t xml:space="preserve"> financing activities</w:t>
            </w:r>
          </w:p>
        </w:tc>
        <w:tc>
          <w:tcPr>
            <w:tcW w:w="567" w:type="dxa"/>
            <w:tcBorders>
              <w:top w:val="single" w:sz="4" w:space="0" w:color="auto"/>
              <w:bottom w:val="single" w:sz="4" w:space="0" w:color="auto"/>
            </w:tcBorders>
          </w:tcPr>
          <w:p w14:paraId="72130F9D"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765" w:type="dxa"/>
            <w:tcBorders>
              <w:top w:val="single" w:sz="4" w:space="0" w:color="auto"/>
              <w:bottom w:val="single" w:sz="4" w:space="0" w:color="auto"/>
            </w:tcBorders>
          </w:tcPr>
          <w:p w14:paraId="604AF358" w14:textId="77777777" w:rsidR="00DD12E2" w:rsidRPr="000E7545" w:rsidRDefault="00DD12E2" w:rsidP="00DD12E2">
            <w:pPr>
              <w:tabs>
                <w:tab w:val="decimal" w:pos="4723"/>
                <w:tab w:val="decimal" w:pos="6019"/>
                <w:tab w:val="decimal" w:pos="7315"/>
                <w:tab w:val="decimal" w:pos="8611"/>
                <w:tab w:val="decimal" w:pos="9878"/>
              </w:tabs>
              <w:suppressAutoHyphens/>
              <w:spacing w:before="60"/>
              <w:jc w:val="right"/>
              <w:rPr>
                <w:rFonts w:ascii="Arial" w:hAnsi="Arial" w:cs="Arial"/>
                <w:sz w:val="18"/>
                <w:szCs w:val="18"/>
              </w:rPr>
            </w:pPr>
          </w:p>
        </w:tc>
        <w:tc>
          <w:tcPr>
            <w:tcW w:w="1276" w:type="dxa"/>
            <w:tcBorders>
              <w:top w:val="single" w:sz="4" w:space="0" w:color="auto"/>
              <w:bottom w:val="single" w:sz="4" w:space="0" w:color="auto"/>
            </w:tcBorders>
            <w:vAlign w:val="bottom"/>
          </w:tcPr>
          <w:p w14:paraId="366653CE" w14:textId="7E75179B" w:rsidR="00DD12E2" w:rsidRPr="002A758E" w:rsidRDefault="007F0B85"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5,205,6</w:t>
            </w:r>
            <w:r w:rsidR="00565904">
              <w:rPr>
                <w:rFonts w:ascii="Arial" w:hAnsi="Arial" w:cs="Arial"/>
                <w:b/>
                <w:sz w:val="18"/>
                <w:szCs w:val="18"/>
              </w:rPr>
              <w:t>70</w:t>
            </w:r>
          </w:p>
        </w:tc>
        <w:tc>
          <w:tcPr>
            <w:tcW w:w="1299" w:type="dxa"/>
            <w:tcBorders>
              <w:top w:val="single" w:sz="4" w:space="0" w:color="auto"/>
              <w:bottom w:val="single" w:sz="4" w:space="0" w:color="auto"/>
            </w:tcBorders>
            <w:vAlign w:val="bottom"/>
          </w:tcPr>
          <w:p w14:paraId="0EA9E1B4" w14:textId="22501F57"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(41,324)</w:t>
            </w:r>
          </w:p>
        </w:tc>
      </w:tr>
      <w:tr w:rsidR="00DD12E2" w:rsidRPr="00A13513" w14:paraId="700D2685" w14:textId="77777777" w:rsidTr="0025186C">
        <w:trPr>
          <w:trHeight w:val="420"/>
        </w:trPr>
        <w:tc>
          <w:tcPr>
            <w:tcW w:w="6096" w:type="dxa"/>
            <w:tcBorders>
              <w:top w:val="single" w:sz="4" w:space="0" w:color="auto"/>
            </w:tcBorders>
            <w:vAlign w:val="bottom"/>
          </w:tcPr>
          <w:p w14:paraId="27D80FC1" w14:textId="26AEFE85"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Net</w:t>
            </w:r>
            <w:r>
              <w:rPr>
                <w:rFonts w:ascii="Arial" w:hAnsi="Arial" w:cs="Arial"/>
                <w:b/>
                <w:sz w:val="18"/>
                <w:szCs w:val="18"/>
              </w:rPr>
              <w:t xml:space="preserve"> </w:t>
            </w:r>
            <w:r w:rsidR="00EE4C4A">
              <w:rPr>
                <w:rFonts w:ascii="Arial" w:hAnsi="Arial" w:cs="Arial"/>
                <w:b/>
                <w:sz w:val="18"/>
                <w:szCs w:val="18"/>
              </w:rPr>
              <w:t>increase/(</w:t>
            </w:r>
            <w:r>
              <w:rPr>
                <w:rFonts w:ascii="Arial" w:hAnsi="Arial" w:cs="Arial"/>
                <w:b/>
                <w:sz w:val="18"/>
                <w:szCs w:val="18"/>
              </w:rPr>
              <w:t>decrease</w:t>
            </w:r>
            <w:r w:rsidR="00EE4C4A">
              <w:rPr>
                <w:rFonts w:ascii="Arial" w:hAnsi="Arial" w:cs="Arial"/>
                <w:b/>
                <w:sz w:val="18"/>
                <w:szCs w:val="18"/>
              </w:rPr>
              <w:t>)</w:t>
            </w:r>
            <w:r>
              <w:rPr>
                <w:rFonts w:ascii="Arial" w:hAnsi="Arial" w:cs="Arial"/>
                <w:b/>
                <w:sz w:val="18"/>
                <w:szCs w:val="18"/>
              </w:rPr>
              <w:t xml:space="preserve"> </w:t>
            </w:r>
            <w:r w:rsidRPr="0013247C">
              <w:rPr>
                <w:rFonts w:ascii="Arial" w:hAnsi="Arial" w:cs="Arial"/>
                <w:b/>
                <w:sz w:val="18"/>
                <w:szCs w:val="18"/>
              </w:rPr>
              <w:t>in cash and cash equivalents</w:t>
            </w:r>
          </w:p>
        </w:tc>
        <w:tc>
          <w:tcPr>
            <w:tcW w:w="567" w:type="dxa"/>
            <w:tcBorders>
              <w:top w:val="single" w:sz="4" w:space="0" w:color="auto"/>
            </w:tcBorders>
          </w:tcPr>
          <w:p w14:paraId="26E13775"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765" w:type="dxa"/>
            <w:tcBorders>
              <w:top w:val="single" w:sz="4" w:space="0" w:color="auto"/>
            </w:tcBorders>
          </w:tcPr>
          <w:p w14:paraId="29193CE7" w14:textId="77777777" w:rsidR="00DD12E2" w:rsidRPr="000E7545" w:rsidRDefault="00DD12E2" w:rsidP="00DD12E2">
            <w:pPr>
              <w:tabs>
                <w:tab w:val="decimal" w:pos="4723"/>
                <w:tab w:val="decimal" w:pos="6019"/>
                <w:tab w:val="decimal" w:pos="7315"/>
                <w:tab w:val="decimal" w:pos="8611"/>
                <w:tab w:val="decimal" w:pos="9878"/>
              </w:tabs>
              <w:suppressAutoHyphens/>
              <w:spacing w:before="60" w:after="120"/>
              <w:jc w:val="right"/>
              <w:rPr>
                <w:rFonts w:ascii="Arial" w:hAnsi="Arial" w:cs="Arial"/>
                <w:sz w:val="18"/>
                <w:szCs w:val="18"/>
              </w:rPr>
            </w:pPr>
          </w:p>
        </w:tc>
        <w:tc>
          <w:tcPr>
            <w:tcW w:w="1276" w:type="dxa"/>
            <w:tcBorders>
              <w:top w:val="single" w:sz="4" w:space="0" w:color="auto"/>
            </w:tcBorders>
            <w:vAlign w:val="bottom"/>
          </w:tcPr>
          <w:p w14:paraId="484222A3" w14:textId="6D17A133" w:rsidR="00DD12E2" w:rsidRPr="002A758E" w:rsidRDefault="007F0B85"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2,24</w:t>
            </w:r>
            <w:r w:rsidR="006F21DC">
              <w:rPr>
                <w:rFonts w:ascii="Arial" w:hAnsi="Arial" w:cs="Arial"/>
                <w:b/>
                <w:sz w:val="18"/>
                <w:szCs w:val="18"/>
              </w:rPr>
              <w:t>8,02</w:t>
            </w:r>
            <w:r w:rsidR="00565904">
              <w:rPr>
                <w:rFonts w:ascii="Arial" w:hAnsi="Arial" w:cs="Arial"/>
                <w:b/>
                <w:sz w:val="18"/>
                <w:szCs w:val="18"/>
              </w:rPr>
              <w:t>2</w:t>
            </w:r>
          </w:p>
        </w:tc>
        <w:tc>
          <w:tcPr>
            <w:tcW w:w="1299" w:type="dxa"/>
            <w:tcBorders>
              <w:top w:val="single" w:sz="4" w:space="0" w:color="auto"/>
            </w:tcBorders>
            <w:vAlign w:val="bottom"/>
          </w:tcPr>
          <w:p w14:paraId="2C37B450" w14:textId="4071D186"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(695,200)</w:t>
            </w:r>
          </w:p>
        </w:tc>
      </w:tr>
      <w:tr w:rsidR="00DD12E2" w:rsidRPr="00A13513" w14:paraId="5231FD87" w14:textId="77777777" w:rsidTr="0025186C">
        <w:tc>
          <w:tcPr>
            <w:tcW w:w="6096" w:type="dxa"/>
            <w:vAlign w:val="bottom"/>
          </w:tcPr>
          <w:p w14:paraId="438BA4C4"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Cash and cash equivalents at beginning of period</w:t>
            </w:r>
          </w:p>
        </w:tc>
        <w:tc>
          <w:tcPr>
            <w:tcW w:w="567" w:type="dxa"/>
          </w:tcPr>
          <w:p w14:paraId="5F3CD522"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765" w:type="dxa"/>
          </w:tcPr>
          <w:p w14:paraId="3BC962B4" w14:textId="77777777" w:rsidR="00DD12E2" w:rsidRPr="000E7545" w:rsidRDefault="00DD12E2" w:rsidP="00DD12E2">
            <w:pPr>
              <w:tabs>
                <w:tab w:val="decimal" w:pos="4723"/>
                <w:tab w:val="decimal" w:pos="6019"/>
                <w:tab w:val="decimal" w:pos="7315"/>
                <w:tab w:val="decimal" w:pos="8611"/>
                <w:tab w:val="decimal" w:pos="9878"/>
              </w:tabs>
              <w:suppressAutoHyphens/>
              <w:spacing w:before="60" w:after="120"/>
              <w:jc w:val="right"/>
              <w:rPr>
                <w:rFonts w:ascii="Arial" w:hAnsi="Arial" w:cs="Arial"/>
                <w:sz w:val="18"/>
                <w:szCs w:val="18"/>
              </w:rPr>
            </w:pPr>
          </w:p>
        </w:tc>
        <w:tc>
          <w:tcPr>
            <w:tcW w:w="1276" w:type="dxa"/>
            <w:vAlign w:val="bottom"/>
          </w:tcPr>
          <w:p w14:paraId="37DC55B4" w14:textId="3E90002A" w:rsidR="00DD12E2" w:rsidRPr="000844FE" w:rsidRDefault="007F0B85"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2,701,79</w:t>
            </w:r>
            <w:r w:rsidR="00565904">
              <w:rPr>
                <w:rFonts w:ascii="Arial" w:hAnsi="Arial" w:cs="Arial"/>
                <w:b/>
                <w:sz w:val="18"/>
                <w:szCs w:val="18"/>
              </w:rPr>
              <w:t>2</w:t>
            </w:r>
          </w:p>
        </w:tc>
        <w:tc>
          <w:tcPr>
            <w:tcW w:w="1299" w:type="dxa"/>
            <w:vAlign w:val="bottom"/>
          </w:tcPr>
          <w:p w14:paraId="1AD0AAB7" w14:textId="3E1F1DEE" w:rsidR="00DD12E2"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5,942,848</w:t>
            </w:r>
          </w:p>
        </w:tc>
      </w:tr>
      <w:tr w:rsidR="00DD12E2" w:rsidRPr="00A13513" w14:paraId="48666203" w14:textId="77777777" w:rsidTr="0025186C">
        <w:tc>
          <w:tcPr>
            <w:tcW w:w="6096" w:type="dxa"/>
            <w:tcBorders>
              <w:bottom w:val="single" w:sz="4" w:space="0" w:color="auto"/>
            </w:tcBorders>
            <w:vAlign w:val="bottom"/>
          </w:tcPr>
          <w:p w14:paraId="62D81615" w14:textId="77777777" w:rsidR="00DD12E2" w:rsidRPr="00612DB5"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sz w:val="18"/>
                <w:szCs w:val="18"/>
              </w:rPr>
            </w:pPr>
            <w:r w:rsidRPr="00612DB5">
              <w:rPr>
                <w:rFonts w:ascii="Arial" w:hAnsi="Arial" w:cs="Arial"/>
                <w:sz w:val="18"/>
                <w:szCs w:val="18"/>
              </w:rPr>
              <w:t>Exchange</w:t>
            </w:r>
            <w:r>
              <w:rPr>
                <w:rFonts w:ascii="Arial" w:hAnsi="Arial" w:cs="Arial"/>
                <w:sz w:val="18"/>
                <w:szCs w:val="18"/>
              </w:rPr>
              <w:t xml:space="preserve"> </w:t>
            </w:r>
            <w:r w:rsidRPr="00612DB5">
              <w:rPr>
                <w:rFonts w:ascii="Arial" w:hAnsi="Arial" w:cs="Arial"/>
                <w:sz w:val="18"/>
                <w:szCs w:val="18"/>
              </w:rPr>
              <w:t>gains</w:t>
            </w:r>
            <w:r>
              <w:rPr>
                <w:rFonts w:ascii="Arial" w:hAnsi="Arial" w:cs="Arial"/>
                <w:sz w:val="18"/>
                <w:szCs w:val="18"/>
              </w:rPr>
              <w:t xml:space="preserve"> </w:t>
            </w:r>
            <w:r w:rsidRPr="00612DB5">
              <w:rPr>
                <w:rFonts w:ascii="Arial" w:hAnsi="Arial" w:cs="Arial"/>
                <w:sz w:val="18"/>
                <w:szCs w:val="18"/>
              </w:rPr>
              <w:t>on cash and cash equivalents</w:t>
            </w:r>
          </w:p>
        </w:tc>
        <w:tc>
          <w:tcPr>
            <w:tcW w:w="567" w:type="dxa"/>
            <w:tcBorders>
              <w:bottom w:val="single" w:sz="4" w:space="0" w:color="auto"/>
            </w:tcBorders>
          </w:tcPr>
          <w:p w14:paraId="16D40F01"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765" w:type="dxa"/>
            <w:tcBorders>
              <w:bottom w:val="single" w:sz="4" w:space="0" w:color="auto"/>
            </w:tcBorders>
          </w:tcPr>
          <w:p w14:paraId="60505800" w14:textId="77777777" w:rsidR="00DD12E2" w:rsidRDefault="00DD12E2" w:rsidP="00DD12E2">
            <w:pPr>
              <w:tabs>
                <w:tab w:val="decimal" w:pos="4723"/>
                <w:tab w:val="decimal" w:pos="6019"/>
                <w:tab w:val="decimal" w:pos="7315"/>
                <w:tab w:val="decimal" w:pos="8611"/>
                <w:tab w:val="decimal" w:pos="9878"/>
              </w:tabs>
              <w:suppressAutoHyphens/>
              <w:spacing w:before="60" w:after="120"/>
              <w:jc w:val="right"/>
              <w:rPr>
                <w:rFonts w:ascii="Arial" w:hAnsi="Arial" w:cs="Arial"/>
                <w:sz w:val="18"/>
                <w:szCs w:val="18"/>
              </w:rPr>
            </w:pPr>
          </w:p>
        </w:tc>
        <w:tc>
          <w:tcPr>
            <w:tcW w:w="1276" w:type="dxa"/>
            <w:tcBorders>
              <w:bottom w:val="single" w:sz="4" w:space="0" w:color="auto"/>
            </w:tcBorders>
            <w:vAlign w:val="bottom"/>
          </w:tcPr>
          <w:p w14:paraId="054CF283" w14:textId="35630E9F" w:rsidR="00DD12E2" w:rsidRPr="000844FE" w:rsidRDefault="006F21DC" w:rsidP="00DD12E2">
            <w:pPr>
              <w:tabs>
                <w:tab w:val="decimal" w:pos="4723"/>
                <w:tab w:val="decimal" w:pos="6019"/>
                <w:tab w:val="decimal" w:pos="7315"/>
                <w:tab w:val="decimal" w:pos="8611"/>
                <w:tab w:val="decimal" w:pos="9878"/>
              </w:tabs>
              <w:suppressAutoHyphens/>
              <w:spacing w:before="60" w:after="60"/>
              <w:jc w:val="right"/>
              <w:rPr>
                <w:rFonts w:ascii="Arial" w:hAnsi="Arial" w:cs="Arial"/>
                <w:sz w:val="18"/>
                <w:szCs w:val="18"/>
              </w:rPr>
            </w:pPr>
            <w:r>
              <w:rPr>
                <w:rFonts w:ascii="Arial" w:hAnsi="Arial" w:cs="Arial"/>
                <w:sz w:val="18"/>
                <w:szCs w:val="18"/>
              </w:rPr>
              <w:t>98</w:t>
            </w:r>
            <w:r w:rsidR="00565904">
              <w:rPr>
                <w:rFonts w:ascii="Arial" w:hAnsi="Arial" w:cs="Arial"/>
                <w:sz w:val="18"/>
                <w:szCs w:val="18"/>
              </w:rPr>
              <w:t>6</w:t>
            </w:r>
          </w:p>
        </w:tc>
        <w:tc>
          <w:tcPr>
            <w:tcW w:w="1299" w:type="dxa"/>
            <w:tcBorders>
              <w:bottom w:val="single" w:sz="4" w:space="0" w:color="auto"/>
            </w:tcBorders>
            <w:vAlign w:val="bottom"/>
          </w:tcPr>
          <w:p w14:paraId="74003E63" w14:textId="50E10967" w:rsidR="00DD12E2" w:rsidRPr="0099178B"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sz w:val="18"/>
                <w:szCs w:val="18"/>
              </w:rPr>
              <w:t>(733)</w:t>
            </w:r>
          </w:p>
        </w:tc>
      </w:tr>
      <w:tr w:rsidR="00DD12E2" w:rsidRPr="00A13513" w14:paraId="460B314A" w14:textId="77777777" w:rsidTr="0025186C">
        <w:tc>
          <w:tcPr>
            <w:tcW w:w="6096" w:type="dxa"/>
            <w:tcBorders>
              <w:top w:val="single" w:sz="4" w:space="0" w:color="auto"/>
              <w:bottom w:val="single" w:sz="4" w:space="0" w:color="auto"/>
            </w:tcBorders>
            <w:vAlign w:val="bottom"/>
          </w:tcPr>
          <w:p w14:paraId="1ACAE548"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60"/>
              <w:rPr>
                <w:rFonts w:ascii="Arial" w:hAnsi="Arial" w:cs="Arial"/>
                <w:b/>
                <w:sz w:val="18"/>
                <w:szCs w:val="18"/>
              </w:rPr>
            </w:pPr>
            <w:r w:rsidRPr="0013247C">
              <w:rPr>
                <w:rFonts w:ascii="Arial" w:hAnsi="Arial" w:cs="Arial"/>
                <w:b/>
                <w:sz w:val="18"/>
                <w:szCs w:val="18"/>
              </w:rPr>
              <w:t>Cash and cash equivalents at end of period</w:t>
            </w:r>
          </w:p>
        </w:tc>
        <w:tc>
          <w:tcPr>
            <w:tcW w:w="567" w:type="dxa"/>
            <w:tcBorders>
              <w:top w:val="single" w:sz="4" w:space="0" w:color="auto"/>
              <w:bottom w:val="single" w:sz="4" w:space="0" w:color="auto"/>
            </w:tcBorders>
          </w:tcPr>
          <w:p w14:paraId="74CACCFA" w14:textId="77777777" w:rsidR="00DD12E2" w:rsidRPr="0013247C" w:rsidRDefault="00DD12E2" w:rsidP="00DD12E2">
            <w:pPr>
              <w:tabs>
                <w:tab w:val="decimal" w:pos="4723"/>
                <w:tab w:val="decimal" w:pos="6019"/>
                <w:tab w:val="decimal" w:pos="7315"/>
                <w:tab w:val="decimal" w:pos="8611"/>
                <w:tab w:val="decimal" w:pos="9878"/>
              </w:tabs>
              <w:suppressAutoHyphens/>
              <w:spacing w:before="60" w:after="120"/>
              <w:jc w:val="center"/>
              <w:rPr>
                <w:rFonts w:ascii="Arial" w:hAnsi="Arial" w:cs="Arial"/>
                <w:sz w:val="18"/>
                <w:szCs w:val="18"/>
              </w:rPr>
            </w:pPr>
          </w:p>
        </w:tc>
        <w:tc>
          <w:tcPr>
            <w:tcW w:w="765" w:type="dxa"/>
            <w:tcBorders>
              <w:top w:val="single" w:sz="4" w:space="0" w:color="auto"/>
              <w:bottom w:val="single" w:sz="4" w:space="0" w:color="auto"/>
            </w:tcBorders>
          </w:tcPr>
          <w:p w14:paraId="23267A26" w14:textId="77777777" w:rsidR="00DD12E2" w:rsidRPr="000E7545" w:rsidRDefault="00DD12E2" w:rsidP="00DD12E2">
            <w:pPr>
              <w:tabs>
                <w:tab w:val="decimal" w:pos="4723"/>
                <w:tab w:val="decimal" w:pos="6019"/>
                <w:tab w:val="decimal" w:pos="7315"/>
                <w:tab w:val="decimal" w:pos="8611"/>
                <w:tab w:val="decimal" w:pos="9878"/>
              </w:tabs>
              <w:suppressAutoHyphens/>
              <w:spacing w:before="60" w:after="120"/>
              <w:jc w:val="right"/>
              <w:rPr>
                <w:rFonts w:ascii="Arial" w:hAnsi="Arial" w:cs="Arial"/>
                <w:sz w:val="18"/>
                <w:szCs w:val="18"/>
              </w:rPr>
            </w:pPr>
          </w:p>
        </w:tc>
        <w:tc>
          <w:tcPr>
            <w:tcW w:w="1276" w:type="dxa"/>
            <w:tcBorders>
              <w:top w:val="single" w:sz="4" w:space="0" w:color="auto"/>
              <w:bottom w:val="single" w:sz="4" w:space="0" w:color="auto"/>
            </w:tcBorders>
            <w:vAlign w:val="bottom"/>
          </w:tcPr>
          <w:p w14:paraId="1628C9DE" w14:textId="04097A53" w:rsidR="00DD12E2" w:rsidRPr="000844FE" w:rsidRDefault="007F0B85" w:rsidP="00DD12E2">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Pr>
                <w:rFonts w:ascii="Arial" w:hAnsi="Arial" w:cs="Arial"/>
                <w:b/>
                <w:sz w:val="18"/>
                <w:szCs w:val="18"/>
              </w:rPr>
              <w:t>4,950,800</w:t>
            </w:r>
          </w:p>
        </w:tc>
        <w:tc>
          <w:tcPr>
            <w:tcW w:w="1299" w:type="dxa"/>
            <w:tcBorders>
              <w:top w:val="single" w:sz="4" w:space="0" w:color="auto"/>
              <w:bottom w:val="single" w:sz="4" w:space="0" w:color="auto"/>
            </w:tcBorders>
            <w:vAlign w:val="bottom"/>
          </w:tcPr>
          <w:p w14:paraId="35D4F6C2" w14:textId="7AA6660A" w:rsidR="00DD12E2" w:rsidRPr="006F373F" w:rsidRDefault="00DD12E2" w:rsidP="00DD12E2">
            <w:pPr>
              <w:tabs>
                <w:tab w:val="decimal" w:pos="4723"/>
                <w:tab w:val="decimal" w:pos="6019"/>
                <w:tab w:val="decimal" w:pos="7315"/>
                <w:tab w:val="decimal" w:pos="8611"/>
                <w:tab w:val="decimal" w:pos="9878"/>
              </w:tabs>
              <w:suppressAutoHyphens/>
              <w:spacing w:after="60"/>
              <w:jc w:val="right"/>
              <w:rPr>
                <w:rFonts w:ascii="Arial" w:hAnsi="Arial" w:cs="Arial"/>
                <w:sz w:val="18"/>
                <w:szCs w:val="18"/>
              </w:rPr>
            </w:pPr>
            <w:r>
              <w:rPr>
                <w:rFonts w:ascii="Arial" w:hAnsi="Arial" w:cs="Arial"/>
                <w:b/>
                <w:sz w:val="18"/>
                <w:szCs w:val="18"/>
              </w:rPr>
              <w:t>5,246,915</w:t>
            </w:r>
          </w:p>
        </w:tc>
      </w:tr>
    </w:tbl>
    <w:p w14:paraId="366EC24B" w14:textId="77777777" w:rsidR="00D401BC" w:rsidRDefault="00D401BC" w:rsidP="00D401BC">
      <w:pPr>
        <w:tabs>
          <w:tab w:val="right" w:pos="9878"/>
        </w:tabs>
        <w:suppressAutoHyphens/>
        <w:jc w:val="both"/>
        <w:rPr>
          <w:rFonts w:ascii="Arial" w:hAnsi="Arial" w:cs="Arial"/>
          <w:b/>
          <w:sz w:val="18"/>
          <w:szCs w:val="18"/>
        </w:rPr>
      </w:pPr>
    </w:p>
    <w:p w14:paraId="52208BFD" w14:textId="77777777" w:rsidR="00A07B10" w:rsidRDefault="00A07B10" w:rsidP="00DC2AF2">
      <w:pPr>
        <w:tabs>
          <w:tab w:val="decimal" w:pos="4723"/>
          <w:tab w:val="decimal" w:pos="6019"/>
          <w:tab w:val="decimal" w:pos="7315"/>
          <w:tab w:val="decimal" w:pos="8611"/>
          <w:tab w:val="decimal" w:pos="9878"/>
        </w:tabs>
        <w:suppressAutoHyphens/>
        <w:rPr>
          <w:rFonts w:ascii="Arial" w:hAnsi="Arial" w:cs="Arial"/>
          <w:b/>
          <w:sz w:val="18"/>
          <w:szCs w:val="18"/>
        </w:rPr>
      </w:pPr>
    </w:p>
    <w:p w14:paraId="45A75375" w14:textId="77777777" w:rsidR="001E1225" w:rsidRDefault="001E1225" w:rsidP="00906AFD">
      <w:pPr>
        <w:tabs>
          <w:tab w:val="decimal" w:pos="4723"/>
          <w:tab w:val="decimal" w:pos="6019"/>
          <w:tab w:val="decimal" w:pos="7315"/>
          <w:tab w:val="decimal" w:pos="8611"/>
          <w:tab w:val="decimal" w:pos="9878"/>
        </w:tabs>
        <w:suppressAutoHyphens/>
        <w:jc w:val="both"/>
        <w:rPr>
          <w:rFonts w:ascii="Arial" w:hAnsi="Arial" w:cs="Arial"/>
          <w:sz w:val="18"/>
          <w:szCs w:val="18"/>
        </w:rPr>
      </w:pPr>
    </w:p>
    <w:p w14:paraId="3F399495" w14:textId="77777777" w:rsidR="001E1225" w:rsidRDefault="001E1225" w:rsidP="00906AFD">
      <w:pPr>
        <w:tabs>
          <w:tab w:val="decimal" w:pos="4723"/>
          <w:tab w:val="decimal" w:pos="6019"/>
          <w:tab w:val="decimal" w:pos="7315"/>
          <w:tab w:val="decimal" w:pos="8611"/>
          <w:tab w:val="decimal" w:pos="9878"/>
        </w:tabs>
        <w:suppressAutoHyphens/>
        <w:jc w:val="both"/>
        <w:rPr>
          <w:rFonts w:ascii="Arial" w:hAnsi="Arial" w:cs="Arial"/>
          <w:sz w:val="18"/>
          <w:szCs w:val="18"/>
        </w:rPr>
      </w:pPr>
    </w:p>
    <w:p w14:paraId="1F05F33E" w14:textId="77777777" w:rsidR="00D52BB7" w:rsidRPr="000B6467" w:rsidRDefault="00D52BB7" w:rsidP="00906AFD">
      <w:pPr>
        <w:tabs>
          <w:tab w:val="decimal" w:pos="4723"/>
          <w:tab w:val="decimal" w:pos="6019"/>
          <w:tab w:val="decimal" w:pos="7315"/>
          <w:tab w:val="decimal" w:pos="8611"/>
          <w:tab w:val="decimal" w:pos="9878"/>
        </w:tabs>
        <w:suppressAutoHyphens/>
        <w:jc w:val="both"/>
        <w:rPr>
          <w:rFonts w:ascii="Arial" w:hAnsi="Arial" w:cs="Arial"/>
          <w:b/>
          <w:sz w:val="22"/>
          <w:szCs w:val="22"/>
        </w:rPr>
      </w:pPr>
      <w:r w:rsidRPr="00DE58AD">
        <w:rPr>
          <w:rFonts w:ascii="Arial" w:hAnsi="Arial" w:cs="Arial"/>
          <w:b/>
          <w:sz w:val="18"/>
          <w:szCs w:val="18"/>
        </w:rPr>
        <w:br w:type="page"/>
      </w:r>
      <w:r w:rsidR="009D13CB" w:rsidRPr="000B6467">
        <w:rPr>
          <w:rFonts w:ascii="Arial" w:hAnsi="Arial" w:cs="Arial"/>
          <w:b/>
          <w:sz w:val="22"/>
          <w:szCs w:val="22"/>
        </w:rPr>
        <w:lastRenderedPageBreak/>
        <w:t xml:space="preserve">NOTES TO THE </w:t>
      </w:r>
      <w:r w:rsidR="00DC2AF2" w:rsidRPr="000B6467">
        <w:rPr>
          <w:rFonts w:ascii="Arial" w:hAnsi="Arial" w:cs="Arial"/>
          <w:b/>
          <w:sz w:val="22"/>
          <w:szCs w:val="22"/>
        </w:rPr>
        <w:t xml:space="preserve">INTERIM </w:t>
      </w:r>
      <w:r w:rsidR="009D13CB" w:rsidRPr="000B6467">
        <w:rPr>
          <w:rFonts w:ascii="Arial" w:hAnsi="Arial" w:cs="Arial"/>
          <w:b/>
          <w:sz w:val="22"/>
          <w:szCs w:val="22"/>
        </w:rPr>
        <w:t>FINANCIAL STATEMENTS</w:t>
      </w:r>
    </w:p>
    <w:p w14:paraId="42516691" w14:textId="77777777" w:rsidR="00D52BB7" w:rsidRPr="000B6467" w:rsidRDefault="00D52BB7">
      <w:pPr>
        <w:tabs>
          <w:tab w:val="right" w:pos="9878"/>
        </w:tabs>
        <w:suppressAutoHyphens/>
        <w:jc w:val="both"/>
        <w:rPr>
          <w:rFonts w:ascii="Arial" w:hAnsi="Arial" w:cs="Arial"/>
          <w:b/>
          <w:sz w:val="18"/>
          <w:szCs w:val="18"/>
        </w:rPr>
      </w:pPr>
    </w:p>
    <w:p w14:paraId="47D8A8BC" w14:textId="77777777" w:rsidR="00D52BB7" w:rsidRPr="000B6467" w:rsidRDefault="00D52BB7" w:rsidP="002A3D69">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20"/>
        </w:rPr>
      </w:pPr>
      <w:r w:rsidRPr="000B6467">
        <w:rPr>
          <w:rFonts w:ascii="Arial" w:hAnsi="Arial" w:cs="Arial"/>
          <w:b/>
          <w:sz w:val="20"/>
        </w:rPr>
        <w:t>1. General Information</w:t>
      </w:r>
    </w:p>
    <w:p w14:paraId="5DCE08E4" w14:textId="77777777" w:rsidR="00D52BB7" w:rsidRPr="000B6467" w:rsidRDefault="00D52BB7" w:rsidP="002A3D69">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18"/>
          <w:szCs w:val="18"/>
        </w:rPr>
      </w:pPr>
    </w:p>
    <w:p w14:paraId="4437EF71" w14:textId="637358F5" w:rsidR="00ED0629" w:rsidRPr="00AD2E2A" w:rsidRDefault="00ED0629" w:rsidP="00ED0629">
      <w:pPr>
        <w:tabs>
          <w:tab w:val="right" w:pos="5954"/>
          <w:tab w:val="right" w:pos="7655"/>
          <w:tab w:val="right" w:pos="9356"/>
        </w:tabs>
        <w:jc w:val="both"/>
        <w:rPr>
          <w:rFonts w:ascii="Arial" w:hAnsi="Arial" w:cs="Arial"/>
          <w:sz w:val="18"/>
          <w:szCs w:val="18"/>
        </w:rPr>
      </w:pPr>
      <w:r w:rsidRPr="00AD2E2A">
        <w:rPr>
          <w:rFonts w:ascii="Arial" w:hAnsi="Arial" w:cs="Arial"/>
          <w:sz w:val="18"/>
          <w:szCs w:val="18"/>
        </w:rPr>
        <w:t xml:space="preserve">The principal activity of </w:t>
      </w:r>
      <w:proofErr w:type="spellStart"/>
      <w:r w:rsidR="00664A04" w:rsidRPr="00AD2E2A">
        <w:rPr>
          <w:rFonts w:ascii="Arial" w:hAnsi="Arial" w:cs="Arial"/>
          <w:sz w:val="18"/>
          <w:szCs w:val="18"/>
        </w:rPr>
        <w:t>Bluejay</w:t>
      </w:r>
      <w:proofErr w:type="spellEnd"/>
      <w:r w:rsidR="00664A04" w:rsidRPr="00AD2E2A">
        <w:rPr>
          <w:rFonts w:ascii="Arial" w:hAnsi="Arial" w:cs="Arial"/>
          <w:sz w:val="18"/>
          <w:szCs w:val="18"/>
        </w:rPr>
        <w:t xml:space="preserve"> </w:t>
      </w:r>
      <w:r w:rsidR="00305F7C" w:rsidRPr="00AD2E2A">
        <w:rPr>
          <w:rFonts w:ascii="Arial" w:hAnsi="Arial" w:cs="Arial"/>
          <w:sz w:val="18"/>
          <w:szCs w:val="18"/>
        </w:rPr>
        <w:t xml:space="preserve">Mining </w:t>
      </w:r>
      <w:r w:rsidR="00664A04" w:rsidRPr="00AD2E2A">
        <w:rPr>
          <w:rFonts w:ascii="Arial" w:hAnsi="Arial" w:cs="Arial"/>
          <w:sz w:val="18"/>
          <w:szCs w:val="18"/>
        </w:rPr>
        <w:t xml:space="preserve">plc </w:t>
      </w:r>
      <w:r w:rsidRPr="00AD2E2A">
        <w:rPr>
          <w:rFonts w:ascii="Arial" w:hAnsi="Arial" w:cs="Arial"/>
          <w:sz w:val="18"/>
          <w:szCs w:val="18"/>
        </w:rPr>
        <w:t xml:space="preserve">(‘the Company’) and its subsidiaries (together ‘the Group’) is the exploration and development of precious and base metals. The Company’s shares are listed on the </w:t>
      </w:r>
      <w:r w:rsidR="00D90745" w:rsidRPr="00AD2E2A">
        <w:rPr>
          <w:rFonts w:ascii="Arial" w:hAnsi="Arial" w:cs="Arial"/>
          <w:sz w:val="18"/>
          <w:szCs w:val="18"/>
        </w:rPr>
        <w:t>AIM</w:t>
      </w:r>
      <w:r w:rsidRPr="00AD2E2A">
        <w:rPr>
          <w:rFonts w:ascii="Arial" w:hAnsi="Arial" w:cs="Arial"/>
          <w:sz w:val="18"/>
          <w:szCs w:val="18"/>
        </w:rPr>
        <w:t xml:space="preserve"> Market of the London Stock Exchange (‘AIM’)</w:t>
      </w:r>
      <w:r w:rsidR="002F6C21" w:rsidRPr="00AD2E2A">
        <w:rPr>
          <w:rFonts w:ascii="Arial" w:hAnsi="Arial" w:cs="Arial"/>
          <w:sz w:val="18"/>
          <w:szCs w:val="18"/>
        </w:rPr>
        <w:t>,</w:t>
      </w:r>
      <w:r w:rsidR="007F0B85" w:rsidRPr="00AD2E2A">
        <w:rPr>
          <w:rFonts w:ascii="Arial" w:hAnsi="Arial" w:cs="Arial"/>
          <w:sz w:val="18"/>
          <w:szCs w:val="18"/>
        </w:rPr>
        <w:t xml:space="preserve"> </w:t>
      </w:r>
      <w:r w:rsidR="009B42BA" w:rsidRPr="00AD2E2A">
        <w:rPr>
          <w:rFonts w:ascii="Arial" w:hAnsi="Arial" w:cs="Arial"/>
          <w:sz w:val="18"/>
          <w:szCs w:val="18"/>
        </w:rPr>
        <w:t>the Frankfurt Stock Exchange</w:t>
      </w:r>
      <w:r w:rsidR="002F6C21" w:rsidRPr="00AD2E2A">
        <w:rPr>
          <w:rFonts w:ascii="Arial" w:hAnsi="Arial" w:cs="Arial"/>
          <w:sz w:val="18"/>
          <w:szCs w:val="18"/>
        </w:rPr>
        <w:t xml:space="preserve"> and the OTCQB exchange</w:t>
      </w:r>
      <w:r w:rsidRPr="00AD2E2A">
        <w:rPr>
          <w:rFonts w:ascii="Arial" w:hAnsi="Arial" w:cs="Arial"/>
          <w:sz w:val="18"/>
          <w:szCs w:val="18"/>
        </w:rPr>
        <w:t>. The Company is incorporated and domiciled in the UK.</w:t>
      </w:r>
    </w:p>
    <w:p w14:paraId="30E98902" w14:textId="77777777" w:rsidR="00664A04" w:rsidRPr="00AD2E2A" w:rsidRDefault="00664A04" w:rsidP="00ED0629">
      <w:pPr>
        <w:tabs>
          <w:tab w:val="right" w:pos="5954"/>
          <w:tab w:val="right" w:pos="7655"/>
          <w:tab w:val="right" w:pos="9356"/>
        </w:tabs>
        <w:jc w:val="both"/>
        <w:rPr>
          <w:rFonts w:ascii="Arial" w:hAnsi="Arial" w:cs="Arial"/>
          <w:sz w:val="18"/>
          <w:szCs w:val="18"/>
        </w:rPr>
      </w:pPr>
    </w:p>
    <w:p w14:paraId="6B230A71" w14:textId="5CA58E0F" w:rsidR="00D52BB7" w:rsidRPr="00AD2E2A" w:rsidRDefault="00ED0629" w:rsidP="005F6D82">
      <w:pPr>
        <w:tabs>
          <w:tab w:val="right" w:pos="5954"/>
          <w:tab w:val="right" w:pos="7655"/>
          <w:tab w:val="right" w:pos="9356"/>
        </w:tabs>
        <w:jc w:val="both"/>
        <w:rPr>
          <w:rFonts w:ascii="Arial" w:hAnsi="Arial" w:cs="Arial"/>
          <w:b/>
          <w:sz w:val="18"/>
          <w:szCs w:val="18"/>
        </w:rPr>
      </w:pPr>
      <w:r w:rsidRPr="00AD2E2A">
        <w:rPr>
          <w:rFonts w:ascii="Arial" w:hAnsi="Arial" w:cs="Arial"/>
          <w:sz w:val="18"/>
          <w:szCs w:val="18"/>
        </w:rPr>
        <w:tab/>
        <w:t xml:space="preserve">The address of its registered office is </w:t>
      </w:r>
      <w:r w:rsidR="008741B2" w:rsidRPr="00AD2E2A">
        <w:rPr>
          <w:rFonts w:ascii="Arial" w:hAnsi="Arial" w:cs="Arial"/>
          <w:sz w:val="18"/>
          <w:szCs w:val="18"/>
        </w:rPr>
        <w:t xml:space="preserve">Suite 1, 15 </w:t>
      </w:r>
      <w:proofErr w:type="spellStart"/>
      <w:r w:rsidR="008741B2" w:rsidRPr="00AD2E2A">
        <w:rPr>
          <w:rFonts w:ascii="Arial" w:hAnsi="Arial" w:cs="Arial"/>
          <w:sz w:val="18"/>
          <w:szCs w:val="18"/>
        </w:rPr>
        <w:t>Ingestre</w:t>
      </w:r>
      <w:proofErr w:type="spellEnd"/>
      <w:r w:rsidR="008741B2" w:rsidRPr="00AD2E2A">
        <w:rPr>
          <w:rFonts w:ascii="Arial" w:hAnsi="Arial" w:cs="Arial"/>
          <w:sz w:val="18"/>
          <w:szCs w:val="18"/>
        </w:rPr>
        <w:t xml:space="preserve"> Place, London, W1F 0DU</w:t>
      </w:r>
      <w:r w:rsidRPr="00AD2E2A">
        <w:rPr>
          <w:rFonts w:ascii="Arial" w:hAnsi="Arial" w:cs="Arial"/>
          <w:sz w:val="18"/>
          <w:szCs w:val="18"/>
        </w:rPr>
        <w:t>.</w:t>
      </w:r>
    </w:p>
    <w:p w14:paraId="3A5473F5" w14:textId="77777777" w:rsidR="001C364E" w:rsidRPr="000B6467" w:rsidRDefault="001C364E" w:rsidP="002A3D69">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18"/>
          <w:szCs w:val="18"/>
        </w:rPr>
      </w:pPr>
    </w:p>
    <w:p w14:paraId="54F14EDA" w14:textId="77777777" w:rsidR="00D52BB7" w:rsidRPr="000B6467" w:rsidRDefault="00D52BB7" w:rsidP="002A3D69">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20"/>
        </w:rPr>
      </w:pPr>
      <w:r w:rsidRPr="000B6467">
        <w:rPr>
          <w:rFonts w:ascii="Arial" w:hAnsi="Arial" w:cs="Arial"/>
          <w:b/>
          <w:sz w:val="20"/>
        </w:rPr>
        <w:t xml:space="preserve">2. </w:t>
      </w:r>
      <w:r w:rsidR="001D5700" w:rsidRPr="000B6467">
        <w:rPr>
          <w:rFonts w:ascii="Arial" w:hAnsi="Arial" w:cs="Arial"/>
          <w:b/>
          <w:sz w:val="20"/>
        </w:rPr>
        <w:t>Basis of Preparation</w:t>
      </w:r>
    </w:p>
    <w:p w14:paraId="486ADAA9" w14:textId="77777777" w:rsidR="00D52BB7" w:rsidRPr="000B6467" w:rsidRDefault="00D52BB7">
      <w:pPr>
        <w:tabs>
          <w:tab w:val="left" w:pos="346"/>
          <w:tab w:val="left" w:pos="720"/>
          <w:tab w:val="left" w:pos="1152"/>
          <w:tab w:val="decimal" w:pos="6048"/>
          <w:tab w:val="decimal" w:pos="7344"/>
          <w:tab w:val="decimal" w:pos="8640"/>
          <w:tab w:val="decimal" w:pos="9835"/>
        </w:tabs>
        <w:suppressAutoHyphens/>
        <w:jc w:val="both"/>
        <w:rPr>
          <w:rFonts w:ascii="Arial" w:hAnsi="Arial" w:cs="Arial"/>
          <w:b/>
          <w:sz w:val="18"/>
          <w:szCs w:val="18"/>
        </w:rPr>
      </w:pPr>
    </w:p>
    <w:p w14:paraId="46535A97" w14:textId="5D564468" w:rsidR="00E4567E" w:rsidRPr="000B6467" w:rsidRDefault="00E4567E" w:rsidP="00E4567E">
      <w:pPr>
        <w:rPr>
          <w:rFonts w:ascii="Arial" w:hAnsi="Arial" w:cs="Arial"/>
          <w:sz w:val="18"/>
          <w:szCs w:val="18"/>
        </w:rPr>
      </w:pPr>
      <w:r w:rsidRPr="000B6467">
        <w:rPr>
          <w:rFonts w:ascii="Arial" w:hAnsi="Arial" w:cs="Arial"/>
          <w:sz w:val="18"/>
          <w:szCs w:val="18"/>
        </w:rPr>
        <w:t xml:space="preserve">The condensed </w:t>
      </w:r>
      <w:r w:rsidR="002F6C21" w:rsidRPr="000B6467">
        <w:rPr>
          <w:rFonts w:ascii="Arial" w:hAnsi="Arial" w:cs="Arial"/>
          <w:sz w:val="18"/>
          <w:szCs w:val="18"/>
        </w:rPr>
        <w:t xml:space="preserve">consolidated </w:t>
      </w:r>
      <w:r w:rsidRPr="000B6467">
        <w:rPr>
          <w:rFonts w:ascii="Arial" w:hAnsi="Arial" w:cs="Arial"/>
          <w:sz w:val="18"/>
          <w:szCs w:val="18"/>
        </w:rPr>
        <w:t>interim financial statements have been prepared in accordance with the requirements of the AIM Rules for Companies. As permitted, the Company has chosen not to adopt IAS 34 “Interim Financial Statements” in preparing this interim financial information. The condensed</w:t>
      </w:r>
      <w:r w:rsidR="002F6C21" w:rsidRPr="000B6467">
        <w:rPr>
          <w:rFonts w:ascii="Arial" w:hAnsi="Arial" w:cs="Arial"/>
          <w:sz w:val="18"/>
          <w:szCs w:val="18"/>
        </w:rPr>
        <w:t xml:space="preserve"> consolidated</w:t>
      </w:r>
      <w:r w:rsidRPr="000B6467">
        <w:rPr>
          <w:rFonts w:ascii="Arial" w:hAnsi="Arial" w:cs="Arial"/>
          <w:sz w:val="18"/>
          <w:szCs w:val="18"/>
        </w:rPr>
        <w:t xml:space="preserve"> interim financial statements should be read in conjunction with the annual financial statements for the year ended 31 December </w:t>
      </w:r>
      <w:r w:rsidR="007F0B85" w:rsidRPr="000B6467">
        <w:rPr>
          <w:rFonts w:ascii="Arial" w:hAnsi="Arial" w:cs="Arial"/>
          <w:sz w:val="18"/>
          <w:szCs w:val="18"/>
        </w:rPr>
        <w:t>2021</w:t>
      </w:r>
      <w:r w:rsidRPr="000B6467">
        <w:rPr>
          <w:rFonts w:ascii="Arial" w:hAnsi="Arial" w:cs="Arial"/>
          <w:sz w:val="18"/>
          <w:szCs w:val="18"/>
        </w:rPr>
        <w:t xml:space="preserve">. The interim financial statements have been prepared in accordance with </w:t>
      </w:r>
      <w:r w:rsidR="00673C68" w:rsidRPr="0051151D">
        <w:rPr>
          <w:rFonts w:ascii="Arial" w:hAnsi="Arial" w:cs="Arial"/>
          <w:sz w:val="18"/>
          <w:szCs w:val="18"/>
        </w:rPr>
        <w:t>UK adopted International Accounting Standards</w:t>
      </w:r>
      <w:r w:rsidRPr="000B6467">
        <w:rPr>
          <w:rFonts w:ascii="Arial" w:hAnsi="Arial" w:cs="Arial"/>
          <w:sz w:val="18"/>
          <w:szCs w:val="18"/>
        </w:rPr>
        <w:t xml:space="preserve"> which have not differed from the previously EU-endorsed IFRS, and hence the previously reported accounting policies still apply.</w:t>
      </w:r>
    </w:p>
    <w:p w14:paraId="06C71A7E" w14:textId="77777777" w:rsidR="00ED0629" w:rsidRPr="000B6467" w:rsidRDefault="00ED0629" w:rsidP="00ED0629">
      <w:pPr>
        <w:tabs>
          <w:tab w:val="right" w:pos="5670"/>
          <w:tab w:val="right" w:pos="7371"/>
          <w:tab w:val="right" w:pos="9072"/>
        </w:tabs>
        <w:jc w:val="both"/>
        <w:rPr>
          <w:rFonts w:ascii="Arial" w:hAnsi="Arial" w:cs="Arial"/>
          <w:sz w:val="18"/>
          <w:szCs w:val="18"/>
        </w:rPr>
      </w:pPr>
    </w:p>
    <w:p w14:paraId="1F4FF9C4" w14:textId="6651C959" w:rsidR="00E4567E" w:rsidRPr="000B6467" w:rsidRDefault="00E4567E" w:rsidP="00E4567E">
      <w:pPr>
        <w:rPr>
          <w:rFonts w:ascii="Arial" w:hAnsi="Arial" w:cs="Arial"/>
          <w:sz w:val="18"/>
          <w:szCs w:val="18"/>
        </w:rPr>
      </w:pPr>
      <w:r w:rsidRPr="000B6467">
        <w:rPr>
          <w:rFonts w:ascii="Arial" w:hAnsi="Arial" w:cs="Arial"/>
          <w:sz w:val="18"/>
          <w:szCs w:val="18"/>
        </w:rPr>
        <w:t xml:space="preserve">The interim financial information set out above does not constitute statutory accounts within the meaning of the Companies Act 2006. It has been prepared on a going concern basis in accordance with the recognition and measurement criteria of </w:t>
      </w:r>
      <w:r w:rsidR="00673C68" w:rsidRPr="0051151D">
        <w:rPr>
          <w:rFonts w:ascii="Arial" w:hAnsi="Arial" w:cs="Arial"/>
          <w:sz w:val="18"/>
          <w:szCs w:val="18"/>
        </w:rPr>
        <w:t>UK adopted International Accounting Standards</w:t>
      </w:r>
      <w:r w:rsidRPr="000B6467">
        <w:rPr>
          <w:rFonts w:ascii="Arial" w:hAnsi="Arial" w:cs="Arial"/>
          <w:sz w:val="18"/>
          <w:szCs w:val="18"/>
        </w:rPr>
        <w:t xml:space="preserve">. </w:t>
      </w:r>
    </w:p>
    <w:p w14:paraId="5A2D8B33" w14:textId="77777777" w:rsidR="00E4567E" w:rsidRPr="000B6467" w:rsidRDefault="00E4567E" w:rsidP="00E4567E">
      <w:pPr>
        <w:rPr>
          <w:rFonts w:ascii="Arial" w:hAnsi="Arial" w:cs="Arial"/>
          <w:sz w:val="18"/>
          <w:szCs w:val="18"/>
        </w:rPr>
      </w:pPr>
    </w:p>
    <w:p w14:paraId="204209CF" w14:textId="5AB1E394" w:rsidR="00E4567E" w:rsidRPr="000B6467" w:rsidRDefault="00E4567E" w:rsidP="00E4567E">
      <w:pPr>
        <w:rPr>
          <w:rFonts w:ascii="Arial" w:hAnsi="Arial" w:cs="Arial"/>
          <w:sz w:val="18"/>
          <w:szCs w:val="18"/>
        </w:rPr>
      </w:pPr>
      <w:r w:rsidRPr="000B6467">
        <w:rPr>
          <w:rFonts w:ascii="Arial" w:hAnsi="Arial" w:cs="Arial"/>
          <w:sz w:val="18"/>
          <w:szCs w:val="18"/>
        </w:rPr>
        <w:t xml:space="preserve">Statutory financial statements for the </w:t>
      </w:r>
      <w:r w:rsidR="002F6C21" w:rsidRPr="000B6467">
        <w:rPr>
          <w:rFonts w:ascii="Arial" w:hAnsi="Arial" w:cs="Arial"/>
          <w:sz w:val="18"/>
          <w:szCs w:val="18"/>
        </w:rPr>
        <w:t xml:space="preserve">year </w:t>
      </w:r>
      <w:r w:rsidRPr="000B6467">
        <w:rPr>
          <w:rFonts w:ascii="Arial" w:hAnsi="Arial" w:cs="Arial"/>
          <w:sz w:val="18"/>
          <w:szCs w:val="18"/>
        </w:rPr>
        <w:t>ended 31 December 202</w:t>
      </w:r>
      <w:r w:rsidR="009A1F22" w:rsidRPr="000B6467">
        <w:rPr>
          <w:rFonts w:ascii="Arial" w:hAnsi="Arial" w:cs="Arial"/>
          <w:sz w:val="18"/>
          <w:szCs w:val="18"/>
        </w:rPr>
        <w:t>1</w:t>
      </w:r>
      <w:r w:rsidRPr="000B6467">
        <w:rPr>
          <w:rFonts w:ascii="Arial" w:hAnsi="Arial" w:cs="Arial"/>
          <w:sz w:val="18"/>
          <w:szCs w:val="18"/>
        </w:rPr>
        <w:t xml:space="preserve"> were approved by the Board of Directors on </w:t>
      </w:r>
      <w:r w:rsidR="007F0B85" w:rsidRPr="000B6467">
        <w:rPr>
          <w:rFonts w:ascii="Arial" w:hAnsi="Arial" w:cs="Arial"/>
          <w:sz w:val="18"/>
          <w:szCs w:val="18"/>
        </w:rPr>
        <w:t>18 May 2022</w:t>
      </w:r>
      <w:r w:rsidRPr="000B6467">
        <w:rPr>
          <w:rFonts w:ascii="Arial" w:hAnsi="Arial" w:cs="Arial"/>
          <w:sz w:val="18"/>
          <w:szCs w:val="18"/>
        </w:rPr>
        <w:t xml:space="preserve"> and delivered to the Registrar of Companies. The report of the auditors on those financial statements was unqualified. </w:t>
      </w:r>
    </w:p>
    <w:p w14:paraId="207EFB5B" w14:textId="77777777" w:rsidR="00ED0629" w:rsidRPr="000B6467" w:rsidRDefault="00ED0629" w:rsidP="00E4567E">
      <w:pPr>
        <w:tabs>
          <w:tab w:val="right" w:pos="5670"/>
          <w:tab w:val="right" w:pos="7371"/>
          <w:tab w:val="right" w:pos="9072"/>
        </w:tabs>
        <w:jc w:val="both"/>
        <w:rPr>
          <w:rFonts w:ascii="Arial" w:hAnsi="Arial" w:cs="Arial"/>
          <w:bCs/>
          <w:sz w:val="18"/>
          <w:szCs w:val="18"/>
        </w:rPr>
      </w:pPr>
    </w:p>
    <w:p w14:paraId="427D8B87" w14:textId="77777777" w:rsidR="00ED0629" w:rsidRPr="000B6467" w:rsidRDefault="00ED0629" w:rsidP="00ED0629">
      <w:pPr>
        <w:tabs>
          <w:tab w:val="right" w:pos="5670"/>
          <w:tab w:val="right" w:pos="7371"/>
          <w:tab w:val="right" w:pos="9072"/>
        </w:tabs>
        <w:rPr>
          <w:rFonts w:ascii="Arial" w:hAnsi="Arial" w:cs="Arial"/>
          <w:bCs/>
          <w:i/>
          <w:sz w:val="18"/>
          <w:szCs w:val="18"/>
        </w:rPr>
      </w:pPr>
      <w:r w:rsidRPr="000B6467">
        <w:rPr>
          <w:rFonts w:ascii="Arial" w:hAnsi="Arial" w:cs="Arial"/>
          <w:bCs/>
          <w:i/>
          <w:sz w:val="18"/>
          <w:szCs w:val="18"/>
        </w:rPr>
        <w:t>Going concern</w:t>
      </w:r>
    </w:p>
    <w:p w14:paraId="655EA018" w14:textId="77777777" w:rsidR="00E6635E" w:rsidRPr="000B6467" w:rsidRDefault="00E6635E" w:rsidP="00ED0629">
      <w:pPr>
        <w:tabs>
          <w:tab w:val="right" w:pos="5670"/>
          <w:tab w:val="right" w:pos="7371"/>
          <w:tab w:val="right" w:pos="9072"/>
        </w:tabs>
        <w:rPr>
          <w:rFonts w:ascii="Arial" w:hAnsi="Arial" w:cs="Arial"/>
          <w:bCs/>
          <w:sz w:val="18"/>
          <w:szCs w:val="18"/>
        </w:rPr>
      </w:pPr>
    </w:p>
    <w:p w14:paraId="7A30A1B1" w14:textId="7574886B" w:rsidR="00B663B1" w:rsidRPr="000B6467" w:rsidRDefault="00B663B1" w:rsidP="00B663B1">
      <w:pPr>
        <w:tabs>
          <w:tab w:val="right" w:pos="5670"/>
          <w:tab w:val="right" w:pos="7371"/>
          <w:tab w:val="right" w:pos="9072"/>
        </w:tabs>
        <w:jc w:val="both"/>
        <w:rPr>
          <w:rFonts w:ascii="Arial" w:hAnsi="Arial" w:cs="Arial"/>
          <w:bCs/>
          <w:sz w:val="18"/>
          <w:szCs w:val="18"/>
        </w:rPr>
      </w:pPr>
      <w:r w:rsidRPr="000B6467">
        <w:rPr>
          <w:rFonts w:ascii="Arial" w:hAnsi="Arial" w:cs="Arial"/>
          <w:bCs/>
          <w:sz w:val="18"/>
          <w:szCs w:val="18"/>
        </w:rPr>
        <w:t xml:space="preserve">The Directors, having made appropriate enquiries, consider that adequate resources exist for the Company and Group to continue in operational existence for the foreseeable future and that, therefore, it is appropriate to adopt the going concern basis in preparing the condensed </w:t>
      </w:r>
      <w:r w:rsidR="002F6C21" w:rsidRPr="000B6467">
        <w:rPr>
          <w:rFonts w:ascii="Arial" w:hAnsi="Arial" w:cs="Arial"/>
          <w:sz w:val="18"/>
          <w:szCs w:val="18"/>
        </w:rPr>
        <w:t>consolidated</w:t>
      </w:r>
      <w:r w:rsidR="002F6C21" w:rsidRPr="000B6467">
        <w:rPr>
          <w:rFonts w:ascii="Arial" w:hAnsi="Arial" w:cs="Arial"/>
          <w:bCs/>
          <w:sz w:val="18"/>
          <w:szCs w:val="18"/>
        </w:rPr>
        <w:t xml:space="preserve"> </w:t>
      </w:r>
      <w:r w:rsidRPr="000B6467">
        <w:rPr>
          <w:rFonts w:ascii="Arial" w:hAnsi="Arial" w:cs="Arial"/>
          <w:bCs/>
          <w:sz w:val="18"/>
          <w:szCs w:val="18"/>
        </w:rPr>
        <w:t>interim financial statements for the period ended 30 June 202</w:t>
      </w:r>
      <w:r w:rsidR="009A1F22" w:rsidRPr="000B6467">
        <w:rPr>
          <w:rFonts w:ascii="Arial" w:hAnsi="Arial" w:cs="Arial"/>
          <w:bCs/>
          <w:sz w:val="18"/>
          <w:szCs w:val="18"/>
        </w:rPr>
        <w:t>2</w:t>
      </w:r>
      <w:r w:rsidRPr="000B6467">
        <w:rPr>
          <w:rFonts w:ascii="Arial" w:hAnsi="Arial" w:cs="Arial"/>
          <w:bCs/>
          <w:sz w:val="18"/>
          <w:szCs w:val="18"/>
        </w:rPr>
        <w:t>.</w:t>
      </w:r>
    </w:p>
    <w:p w14:paraId="36B7EF80" w14:textId="77777777" w:rsidR="00E6635E" w:rsidRPr="000B6467" w:rsidRDefault="00ED0629" w:rsidP="00ED0629">
      <w:pPr>
        <w:tabs>
          <w:tab w:val="right" w:pos="5670"/>
          <w:tab w:val="right" w:pos="7371"/>
          <w:tab w:val="right" w:pos="9072"/>
        </w:tabs>
        <w:jc w:val="both"/>
        <w:rPr>
          <w:rFonts w:ascii="Arial" w:hAnsi="Arial" w:cs="Arial"/>
          <w:bCs/>
          <w:i/>
          <w:sz w:val="18"/>
          <w:szCs w:val="18"/>
        </w:rPr>
      </w:pPr>
      <w:r w:rsidRPr="000B6467">
        <w:rPr>
          <w:rFonts w:ascii="Arial" w:hAnsi="Arial" w:cs="Arial"/>
          <w:bCs/>
          <w:i/>
          <w:sz w:val="18"/>
          <w:szCs w:val="18"/>
        </w:rPr>
        <w:tab/>
      </w:r>
    </w:p>
    <w:p w14:paraId="496BC011" w14:textId="77777777" w:rsidR="00E6635E" w:rsidRPr="000B6467" w:rsidRDefault="00E6635E" w:rsidP="00ED0629">
      <w:pPr>
        <w:tabs>
          <w:tab w:val="right" w:pos="5670"/>
          <w:tab w:val="right" w:pos="7371"/>
          <w:tab w:val="right" w:pos="9072"/>
        </w:tabs>
        <w:jc w:val="both"/>
        <w:rPr>
          <w:rFonts w:ascii="Arial" w:hAnsi="Arial" w:cs="Arial"/>
          <w:bCs/>
          <w:sz w:val="18"/>
          <w:szCs w:val="18"/>
        </w:rPr>
      </w:pPr>
      <w:r w:rsidRPr="000B6467">
        <w:rPr>
          <w:rFonts w:ascii="Arial" w:hAnsi="Arial" w:cs="Arial"/>
          <w:bCs/>
          <w:sz w:val="18"/>
          <w:szCs w:val="18"/>
        </w:rPr>
        <w:t>The interim Financial Statements have been prepared on a going concern basis. Although the Group’s assets are not generating revenues and an operating loss has been reported, the Directors are of the view that the Group has sufficient funds to meet all committed and contractual expenditure and to maintain good title to the exploration licences.</w:t>
      </w:r>
    </w:p>
    <w:p w14:paraId="45B4195A" w14:textId="77777777" w:rsidR="00ED0629" w:rsidRPr="000B6467" w:rsidRDefault="00ED0629" w:rsidP="00ED0629">
      <w:pPr>
        <w:tabs>
          <w:tab w:val="right" w:pos="5670"/>
          <w:tab w:val="right" w:pos="7371"/>
          <w:tab w:val="right" w:pos="9072"/>
        </w:tabs>
        <w:jc w:val="both"/>
        <w:rPr>
          <w:rFonts w:ascii="Arial" w:hAnsi="Arial" w:cs="Arial"/>
          <w:bCs/>
          <w:sz w:val="18"/>
          <w:szCs w:val="18"/>
        </w:rPr>
      </w:pPr>
    </w:p>
    <w:p w14:paraId="293D6EFC" w14:textId="77777777" w:rsidR="00ED0629" w:rsidRPr="000B6467" w:rsidRDefault="00ED0629" w:rsidP="00ED0629">
      <w:pPr>
        <w:tabs>
          <w:tab w:val="right" w:pos="5670"/>
          <w:tab w:val="right" w:pos="7371"/>
          <w:tab w:val="right" w:pos="9072"/>
        </w:tabs>
        <w:jc w:val="both"/>
        <w:rPr>
          <w:rFonts w:ascii="Arial" w:hAnsi="Arial" w:cs="Arial"/>
          <w:bCs/>
          <w:i/>
          <w:sz w:val="18"/>
          <w:szCs w:val="18"/>
        </w:rPr>
      </w:pPr>
      <w:r w:rsidRPr="000B6467">
        <w:rPr>
          <w:rFonts w:ascii="Arial" w:hAnsi="Arial" w:cs="Arial"/>
          <w:bCs/>
          <w:i/>
          <w:sz w:val="18"/>
          <w:szCs w:val="18"/>
        </w:rPr>
        <w:t>Risks and uncertainties</w:t>
      </w:r>
    </w:p>
    <w:p w14:paraId="34D7727E" w14:textId="77777777" w:rsidR="00ED0629" w:rsidRPr="000B6467" w:rsidRDefault="00ED0629" w:rsidP="00ED0629">
      <w:pPr>
        <w:tabs>
          <w:tab w:val="right" w:pos="5670"/>
          <w:tab w:val="right" w:pos="7371"/>
          <w:tab w:val="right" w:pos="9072"/>
        </w:tabs>
        <w:jc w:val="both"/>
        <w:rPr>
          <w:rFonts w:ascii="Arial" w:hAnsi="Arial" w:cs="Arial"/>
          <w:bCs/>
          <w:i/>
          <w:sz w:val="18"/>
          <w:szCs w:val="18"/>
        </w:rPr>
      </w:pPr>
    </w:p>
    <w:p w14:paraId="48502769" w14:textId="12A2610B" w:rsidR="00ED0629" w:rsidRPr="000B6467" w:rsidRDefault="00ED0629" w:rsidP="00ED0629">
      <w:pPr>
        <w:tabs>
          <w:tab w:val="right" w:pos="5670"/>
          <w:tab w:val="right" w:pos="7371"/>
          <w:tab w:val="right" w:pos="9072"/>
        </w:tabs>
        <w:jc w:val="both"/>
        <w:rPr>
          <w:rFonts w:ascii="Arial" w:hAnsi="Arial" w:cs="Arial"/>
          <w:bCs/>
          <w:sz w:val="18"/>
          <w:szCs w:val="18"/>
        </w:rPr>
      </w:pPr>
      <w:r w:rsidRPr="000B6467">
        <w:rPr>
          <w:rFonts w:ascii="Arial" w:hAnsi="Arial" w:cs="Arial"/>
          <w:bCs/>
          <w:i/>
          <w:sz w:val="18"/>
          <w:szCs w:val="18"/>
        </w:rPr>
        <w:tab/>
      </w:r>
      <w:r w:rsidRPr="000B6467">
        <w:rPr>
          <w:rFonts w:ascii="Arial" w:hAnsi="Arial" w:cs="Arial"/>
          <w:bCs/>
          <w:sz w:val="18"/>
          <w:szCs w:val="18"/>
        </w:rPr>
        <w:t>The Board continuously assesses and monitors the key risks of the business. The key risks that could affect the Company’s medium term performance and the factors that mitigate those risks have no</w:t>
      </w:r>
      <w:r w:rsidR="00A83104" w:rsidRPr="000B6467">
        <w:rPr>
          <w:rFonts w:ascii="Arial" w:hAnsi="Arial" w:cs="Arial"/>
          <w:bCs/>
          <w:sz w:val="18"/>
          <w:szCs w:val="18"/>
        </w:rPr>
        <w:t>t</w:t>
      </w:r>
      <w:r w:rsidRPr="000B6467">
        <w:rPr>
          <w:rFonts w:ascii="Arial" w:hAnsi="Arial" w:cs="Arial"/>
          <w:bCs/>
          <w:sz w:val="18"/>
          <w:szCs w:val="18"/>
        </w:rPr>
        <w:t xml:space="preserve"> substantially changed from those set out in the Company’s </w:t>
      </w:r>
      <w:r w:rsidR="00F13E0C" w:rsidRPr="000B6467">
        <w:rPr>
          <w:rFonts w:ascii="Arial" w:hAnsi="Arial" w:cs="Arial"/>
          <w:bCs/>
          <w:sz w:val="18"/>
          <w:szCs w:val="18"/>
        </w:rPr>
        <w:t>20</w:t>
      </w:r>
      <w:r w:rsidR="00DB6D60" w:rsidRPr="000B6467">
        <w:rPr>
          <w:rFonts w:ascii="Arial" w:hAnsi="Arial" w:cs="Arial"/>
          <w:bCs/>
          <w:sz w:val="18"/>
          <w:szCs w:val="18"/>
        </w:rPr>
        <w:t>2</w:t>
      </w:r>
      <w:r w:rsidR="009A1F22" w:rsidRPr="000B6467">
        <w:rPr>
          <w:rFonts w:ascii="Arial" w:hAnsi="Arial" w:cs="Arial"/>
          <w:bCs/>
          <w:sz w:val="18"/>
          <w:szCs w:val="18"/>
        </w:rPr>
        <w:t>1</w:t>
      </w:r>
      <w:r w:rsidRPr="000B6467">
        <w:rPr>
          <w:rFonts w:ascii="Arial" w:hAnsi="Arial" w:cs="Arial"/>
          <w:bCs/>
          <w:sz w:val="18"/>
          <w:szCs w:val="18"/>
        </w:rPr>
        <w:t xml:space="preserve"> Annual Report and Financial Statements, a copy of which is available on the Company’s website: </w:t>
      </w:r>
      <w:hyperlink r:id="rId12" w:history="1">
        <w:r w:rsidR="008E36EA" w:rsidRPr="000B6467">
          <w:rPr>
            <w:rStyle w:val="Hyperlink"/>
            <w:rFonts w:ascii="Arial" w:hAnsi="Arial" w:cs="Arial"/>
            <w:bCs/>
            <w:sz w:val="18"/>
            <w:szCs w:val="18"/>
          </w:rPr>
          <w:t>www.bluejaymining.com</w:t>
        </w:r>
      </w:hyperlink>
      <w:r w:rsidRPr="000B6467">
        <w:rPr>
          <w:rFonts w:ascii="Arial" w:hAnsi="Arial" w:cs="Arial"/>
          <w:bCs/>
          <w:sz w:val="18"/>
          <w:szCs w:val="18"/>
        </w:rPr>
        <w:t>. The key financial risks are liquidity risk, credit risk, interest rate risk and fair value estimation.</w:t>
      </w:r>
    </w:p>
    <w:p w14:paraId="4604C69A" w14:textId="77777777" w:rsidR="00ED0629" w:rsidRPr="000B6467" w:rsidRDefault="00ED0629" w:rsidP="00ED0629">
      <w:pPr>
        <w:tabs>
          <w:tab w:val="right" w:pos="5670"/>
          <w:tab w:val="right" w:pos="7371"/>
          <w:tab w:val="right" w:pos="9072"/>
        </w:tabs>
        <w:jc w:val="both"/>
        <w:rPr>
          <w:rFonts w:ascii="Arial" w:hAnsi="Arial" w:cs="Arial"/>
          <w:bCs/>
          <w:sz w:val="18"/>
          <w:szCs w:val="18"/>
        </w:rPr>
      </w:pPr>
    </w:p>
    <w:p w14:paraId="4043EB85" w14:textId="77777777" w:rsidR="00ED0629" w:rsidRPr="000B6467" w:rsidRDefault="00ED0629" w:rsidP="00ED0629">
      <w:pPr>
        <w:tabs>
          <w:tab w:val="right" w:pos="5670"/>
          <w:tab w:val="right" w:pos="7371"/>
          <w:tab w:val="right" w:pos="9072"/>
        </w:tabs>
        <w:jc w:val="both"/>
        <w:rPr>
          <w:rFonts w:ascii="Arial" w:hAnsi="Arial" w:cs="Arial"/>
          <w:bCs/>
          <w:i/>
          <w:sz w:val="18"/>
          <w:szCs w:val="18"/>
        </w:rPr>
      </w:pPr>
      <w:r w:rsidRPr="000B6467">
        <w:rPr>
          <w:rFonts w:ascii="Arial" w:hAnsi="Arial" w:cs="Arial"/>
          <w:bCs/>
          <w:i/>
          <w:sz w:val="18"/>
          <w:szCs w:val="18"/>
        </w:rPr>
        <w:t>Critical accounting estimates</w:t>
      </w:r>
    </w:p>
    <w:p w14:paraId="08AF2489" w14:textId="77777777" w:rsidR="00ED0629" w:rsidRPr="000B6467" w:rsidRDefault="00ED0629" w:rsidP="00ED0629">
      <w:pPr>
        <w:tabs>
          <w:tab w:val="right" w:pos="5670"/>
          <w:tab w:val="right" w:pos="7371"/>
          <w:tab w:val="right" w:pos="9072"/>
        </w:tabs>
        <w:jc w:val="both"/>
        <w:rPr>
          <w:rFonts w:ascii="Arial" w:hAnsi="Arial" w:cs="Arial"/>
          <w:bCs/>
          <w:sz w:val="18"/>
          <w:szCs w:val="18"/>
          <w:lang w:val="en-US"/>
        </w:rPr>
      </w:pPr>
    </w:p>
    <w:p w14:paraId="42195FBB" w14:textId="7A719352" w:rsidR="00ED0629" w:rsidRPr="000B6467" w:rsidRDefault="00ED0629" w:rsidP="00ED0629">
      <w:pPr>
        <w:tabs>
          <w:tab w:val="right" w:pos="5670"/>
          <w:tab w:val="right" w:pos="7371"/>
          <w:tab w:val="right" w:pos="9072"/>
        </w:tabs>
        <w:jc w:val="both"/>
        <w:rPr>
          <w:rFonts w:ascii="Arial" w:hAnsi="Arial" w:cs="Arial"/>
          <w:bCs/>
          <w:sz w:val="18"/>
          <w:szCs w:val="18"/>
        </w:rPr>
      </w:pPr>
      <w:r w:rsidRPr="000B6467">
        <w:rPr>
          <w:rFonts w:ascii="Arial" w:hAnsi="Arial" w:cs="Arial"/>
          <w:bCs/>
          <w:sz w:val="18"/>
          <w:szCs w:val="18"/>
        </w:rPr>
        <w:tab/>
        <w:t>The preparation of condensed</w:t>
      </w:r>
      <w:r w:rsidR="002F6C21" w:rsidRPr="000B6467">
        <w:rPr>
          <w:rFonts w:ascii="Arial" w:hAnsi="Arial" w:cs="Arial"/>
          <w:sz w:val="18"/>
          <w:szCs w:val="18"/>
        </w:rPr>
        <w:t xml:space="preserve"> consolidated</w:t>
      </w:r>
      <w:r w:rsidRPr="000B6467">
        <w:rPr>
          <w:rFonts w:ascii="Arial" w:hAnsi="Arial" w:cs="Arial"/>
          <w:bCs/>
          <w:sz w:val="18"/>
          <w:szCs w:val="18"/>
        </w:rPr>
        <w:t xml:space="preserve"> interim financial statements requires management to make estimates and assumptions that affect the reported amounts of assets and liabilities at the end of the reporting period. Significant items subject to such estimates are set out</w:t>
      </w:r>
      <w:r w:rsidR="00E525BD" w:rsidRPr="000B6467">
        <w:rPr>
          <w:rFonts w:ascii="Arial" w:hAnsi="Arial" w:cs="Arial"/>
          <w:bCs/>
          <w:sz w:val="18"/>
          <w:szCs w:val="18"/>
        </w:rPr>
        <w:t xml:space="preserve"> in </w:t>
      </w:r>
      <w:r w:rsidR="004315D4" w:rsidRPr="000B6467">
        <w:rPr>
          <w:rFonts w:ascii="Arial" w:hAnsi="Arial" w:cs="Arial"/>
          <w:bCs/>
          <w:sz w:val="18"/>
          <w:szCs w:val="18"/>
        </w:rPr>
        <w:t xml:space="preserve">Note </w:t>
      </w:r>
      <w:r w:rsidR="0018750B" w:rsidRPr="000B6467">
        <w:rPr>
          <w:rFonts w:ascii="Arial" w:hAnsi="Arial" w:cs="Arial"/>
          <w:bCs/>
          <w:sz w:val="18"/>
          <w:szCs w:val="18"/>
        </w:rPr>
        <w:t>4</w:t>
      </w:r>
      <w:r w:rsidR="00E525BD" w:rsidRPr="000B6467">
        <w:rPr>
          <w:rFonts w:ascii="Arial" w:hAnsi="Arial" w:cs="Arial"/>
          <w:bCs/>
          <w:sz w:val="18"/>
          <w:szCs w:val="18"/>
        </w:rPr>
        <w:t xml:space="preserve"> of the Company’s </w:t>
      </w:r>
      <w:r w:rsidR="00F13E0C" w:rsidRPr="000B6467">
        <w:rPr>
          <w:rFonts w:ascii="Arial" w:hAnsi="Arial" w:cs="Arial"/>
          <w:bCs/>
          <w:sz w:val="18"/>
          <w:szCs w:val="18"/>
        </w:rPr>
        <w:t>20</w:t>
      </w:r>
      <w:r w:rsidR="00DB6D60" w:rsidRPr="000B6467">
        <w:rPr>
          <w:rFonts w:ascii="Arial" w:hAnsi="Arial" w:cs="Arial"/>
          <w:bCs/>
          <w:sz w:val="18"/>
          <w:szCs w:val="18"/>
        </w:rPr>
        <w:t>2</w:t>
      </w:r>
      <w:r w:rsidR="009A1F22" w:rsidRPr="000B6467">
        <w:rPr>
          <w:rFonts w:ascii="Arial" w:hAnsi="Arial" w:cs="Arial"/>
          <w:bCs/>
          <w:sz w:val="18"/>
          <w:szCs w:val="18"/>
        </w:rPr>
        <w:t>1</w:t>
      </w:r>
      <w:r w:rsidRPr="000B6467">
        <w:rPr>
          <w:rFonts w:ascii="Arial" w:hAnsi="Arial" w:cs="Arial"/>
          <w:bCs/>
          <w:sz w:val="18"/>
          <w:szCs w:val="18"/>
        </w:rPr>
        <w:t xml:space="preserve"> Annual Report and Financial Statements. The nature and amounts of such estimates have not changed significantly during the interim period</w:t>
      </w:r>
      <w:r w:rsidR="002F6C21" w:rsidRPr="000B6467">
        <w:rPr>
          <w:rFonts w:ascii="Arial" w:hAnsi="Arial" w:cs="Arial"/>
          <w:bCs/>
          <w:sz w:val="18"/>
          <w:szCs w:val="18"/>
        </w:rPr>
        <w:t>.</w:t>
      </w:r>
    </w:p>
    <w:p w14:paraId="627A591B" w14:textId="77777777" w:rsidR="00E54574" w:rsidRPr="000B6467" w:rsidRDefault="00E54574" w:rsidP="005E01DE">
      <w:pPr>
        <w:numPr>
          <w:ilvl w:val="12"/>
          <w:numId w:val="0"/>
        </w:numPr>
        <w:tabs>
          <w:tab w:val="left" w:pos="346"/>
          <w:tab w:val="left" w:pos="720"/>
          <w:tab w:val="left" w:pos="1151"/>
          <w:tab w:val="decimal" w:pos="6049"/>
          <w:tab w:val="decimal" w:pos="7342"/>
          <w:tab w:val="decimal" w:pos="8640"/>
          <w:tab w:val="decimal" w:pos="9836"/>
        </w:tabs>
        <w:suppressAutoHyphens/>
        <w:jc w:val="both"/>
        <w:rPr>
          <w:rFonts w:ascii="Arial" w:hAnsi="Arial" w:cs="Arial"/>
          <w:bCs/>
          <w:sz w:val="18"/>
          <w:szCs w:val="18"/>
          <w:highlight w:val="green"/>
        </w:rPr>
      </w:pPr>
      <w:bookmarkStart w:id="0" w:name="LPHit4"/>
      <w:bookmarkEnd w:id="0"/>
    </w:p>
    <w:p w14:paraId="0AB9484A" w14:textId="77777777" w:rsidR="00D06A2D" w:rsidRPr="000B6467" w:rsidRDefault="005E01DE" w:rsidP="00EB5051">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20"/>
        </w:rPr>
      </w:pPr>
      <w:r w:rsidRPr="000B6467">
        <w:rPr>
          <w:rFonts w:ascii="Arial" w:hAnsi="Arial" w:cs="Arial"/>
          <w:b/>
          <w:sz w:val="20"/>
        </w:rPr>
        <w:t>3.</w:t>
      </w:r>
      <w:r w:rsidRPr="000B6467">
        <w:rPr>
          <w:rFonts w:ascii="Arial" w:hAnsi="Arial" w:cs="Arial"/>
          <w:b/>
          <w:sz w:val="20"/>
        </w:rPr>
        <w:tab/>
        <w:t>Accounting Policies</w:t>
      </w:r>
    </w:p>
    <w:p w14:paraId="0116EC72" w14:textId="77777777" w:rsidR="00D06A2D" w:rsidRPr="000B6467" w:rsidRDefault="00D06A2D" w:rsidP="00EB5051">
      <w:pPr>
        <w:tabs>
          <w:tab w:val="left" w:pos="346"/>
          <w:tab w:val="left" w:pos="720"/>
          <w:tab w:val="left" w:pos="1152"/>
          <w:tab w:val="decimal" w:pos="6048"/>
          <w:tab w:val="decimal" w:pos="7344"/>
          <w:tab w:val="decimal" w:pos="8640"/>
          <w:tab w:val="decimal" w:pos="9835"/>
        </w:tabs>
        <w:suppressAutoHyphens/>
        <w:jc w:val="both"/>
        <w:outlineLvl w:val="0"/>
        <w:rPr>
          <w:rFonts w:ascii="Arial" w:hAnsi="Arial" w:cs="Arial"/>
          <w:b/>
          <w:sz w:val="20"/>
        </w:rPr>
      </w:pPr>
    </w:p>
    <w:p w14:paraId="67796F4F" w14:textId="722DB70F" w:rsidR="00E71297" w:rsidRPr="000B6467" w:rsidRDefault="005E01DE" w:rsidP="005E01DE">
      <w:pPr>
        <w:tabs>
          <w:tab w:val="right" w:pos="5670"/>
          <w:tab w:val="right" w:pos="7371"/>
          <w:tab w:val="right" w:pos="9072"/>
        </w:tabs>
        <w:jc w:val="both"/>
        <w:rPr>
          <w:rFonts w:ascii="Arial" w:hAnsi="Arial" w:cs="Arial"/>
          <w:sz w:val="18"/>
          <w:szCs w:val="18"/>
        </w:rPr>
      </w:pPr>
      <w:r w:rsidRPr="000B6467">
        <w:rPr>
          <w:rFonts w:ascii="Arial" w:hAnsi="Arial" w:cs="Arial"/>
          <w:sz w:val="18"/>
          <w:szCs w:val="18"/>
        </w:rPr>
        <w:t xml:space="preserve">Except as described below, the same accounting policies, presentation and methods of computation have been followed in these condensed </w:t>
      </w:r>
      <w:r w:rsidR="002F6C21" w:rsidRPr="000B6467">
        <w:rPr>
          <w:rFonts w:ascii="Arial" w:hAnsi="Arial" w:cs="Arial"/>
          <w:sz w:val="18"/>
          <w:szCs w:val="18"/>
        </w:rPr>
        <w:t xml:space="preserve">consolidated </w:t>
      </w:r>
      <w:r w:rsidRPr="000B6467">
        <w:rPr>
          <w:rFonts w:ascii="Arial" w:hAnsi="Arial" w:cs="Arial"/>
          <w:sz w:val="18"/>
          <w:szCs w:val="18"/>
        </w:rPr>
        <w:t xml:space="preserve">interim financial statements as were applied in the preparation of the Group’s annual financial statements for the year ended </w:t>
      </w:r>
      <w:r w:rsidR="00B1450E" w:rsidRPr="000B6467">
        <w:rPr>
          <w:rFonts w:ascii="Arial" w:hAnsi="Arial" w:cs="Arial"/>
          <w:sz w:val="18"/>
          <w:szCs w:val="18"/>
        </w:rPr>
        <w:t>31 December 20</w:t>
      </w:r>
      <w:r w:rsidR="00DB6D60" w:rsidRPr="000B6467">
        <w:rPr>
          <w:rFonts w:ascii="Arial" w:hAnsi="Arial" w:cs="Arial"/>
          <w:sz w:val="18"/>
          <w:szCs w:val="18"/>
        </w:rPr>
        <w:t>2</w:t>
      </w:r>
      <w:r w:rsidR="009A1F22" w:rsidRPr="000B6467">
        <w:rPr>
          <w:rFonts w:ascii="Arial" w:hAnsi="Arial" w:cs="Arial"/>
          <w:sz w:val="18"/>
          <w:szCs w:val="18"/>
        </w:rPr>
        <w:t>1</w:t>
      </w:r>
      <w:r w:rsidR="003403AD" w:rsidRPr="000B6467">
        <w:rPr>
          <w:rFonts w:ascii="Arial" w:hAnsi="Arial" w:cs="Arial"/>
          <w:sz w:val="18"/>
          <w:szCs w:val="18"/>
        </w:rPr>
        <w:t>.</w:t>
      </w:r>
    </w:p>
    <w:p w14:paraId="38B015BF" w14:textId="77777777" w:rsidR="00E71297" w:rsidRPr="000B6467" w:rsidRDefault="00E71297" w:rsidP="005E01DE">
      <w:pPr>
        <w:tabs>
          <w:tab w:val="right" w:pos="5670"/>
          <w:tab w:val="right" w:pos="7371"/>
          <w:tab w:val="right" w:pos="9072"/>
        </w:tabs>
        <w:jc w:val="both"/>
        <w:rPr>
          <w:rFonts w:ascii="Arial" w:hAnsi="Arial" w:cs="Arial"/>
          <w:sz w:val="18"/>
          <w:szCs w:val="18"/>
        </w:rPr>
      </w:pPr>
    </w:p>
    <w:p w14:paraId="563F22D7" w14:textId="77777777" w:rsidR="005E01DE" w:rsidRPr="000B6467" w:rsidRDefault="005E01DE" w:rsidP="00F51531">
      <w:pPr>
        <w:keepNext/>
        <w:tabs>
          <w:tab w:val="right" w:pos="5670"/>
          <w:tab w:val="right" w:pos="7371"/>
          <w:tab w:val="right" w:pos="9072"/>
        </w:tabs>
        <w:rPr>
          <w:rFonts w:ascii="Arial" w:hAnsi="Arial" w:cs="Arial"/>
          <w:b/>
          <w:i/>
          <w:sz w:val="18"/>
          <w:szCs w:val="18"/>
        </w:rPr>
      </w:pPr>
      <w:r w:rsidRPr="000B6467">
        <w:rPr>
          <w:rFonts w:ascii="Arial" w:hAnsi="Arial" w:cs="Arial"/>
          <w:b/>
          <w:i/>
          <w:sz w:val="18"/>
          <w:szCs w:val="18"/>
        </w:rPr>
        <w:t>3.1 Changes in accounting policy and disclosures</w:t>
      </w:r>
    </w:p>
    <w:p w14:paraId="4F2885DE" w14:textId="77777777" w:rsidR="00F13E0C" w:rsidRPr="000B6467" w:rsidRDefault="00F13E0C" w:rsidP="00F51531">
      <w:pPr>
        <w:keepNext/>
        <w:tabs>
          <w:tab w:val="right" w:pos="5670"/>
          <w:tab w:val="right" w:pos="7371"/>
          <w:tab w:val="right" w:pos="9072"/>
        </w:tabs>
        <w:rPr>
          <w:rFonts w:ascii="Arial" w:hAnsi="Arial" w:cs="Arial"/>
          <w:b/>
          <w:i/>
          <w:sz w:val="18"/>
          <w:szCs w:val="18"/>
        </w:rPr>
      </w:pPr>
    </w:p>
    <w:p w14:paraId="60A487D6" w14:textId="38364354" w:rsidR="00F13E0C" w:rsidRPr="000B6467" w:rsidRDefault="00F13E0C" w:rsidP="00F13E0C">
      <w:pPr>
        <w:keepNext/>
        <w:tabs>
          <w:tab w:val="right" w:pos="5954"/>
          <w:tab w:val="right" w:pos="7655"/>
          <w:tab w:val="right" w:pos="9356"/>
        </w:tabs>
        <w:jc w:val="both"/>
        <w:rPr>
          <w:rFonts w:ascii="Arial" w:hAnsi="Arial" w:cs="Arial"/>
          <w:i/>
          <w:iCs/>
          <w:sz w:val="18"/>
          <w:szCs w:val="18"/>
          <w:highlight w:val="yellow"/>
          <w:lang w:val="en-US"/>
        </w:rPr>
      </w:pPr>
      <w:r w:rsidRPr="000B6467">
        <w:rPr>
          <w:rFonts w:ascii="Arial" w:hAnsi="Arial" w:cs="Arial"/>
          <w:i/>
          <w:iCs/>
          <w:sz w:val="18"/>
          <w:szCs w:val="18"/>
          <w:lang w:val="en-US"/>
        </w:rPr>
        <w:t>(a) Accounting developments during 20</w:t>
      </w:r>
      <w:r w:rsidR="00E83178" w:rsidRPr="000B6467">
        <w:rPr>
          <w:rFonts w:ascii="Arial" w:hAnsi="Arial" w:cs="Arial"/>
          <w:i/>
          <w:iCs/>
          <w:sz w:val="18"/>
          <w:szCs w:val="18"/>
          <w:lang w:val="en-US"/>
        </w:rPr>
        <w:t>2</w:t>
      </w:r>
      <w:r w:rsidR="003611B7">
        <w:rPr>
          <w:rFonts w:ascii="Arial" w:hAnsi="Arial" w:cs="Arial"/>
          <w:i/>
          <w:iCs/>
          <w:sz w:val="18"/>
          <w:szCs w:val="18"/>
          <w:lang w:val="en-US"/>
        </w:rPr>
        <w:t>2</w:t>
      </w:r>
    </w:p>
    <w:p w14:paraId="22FC160E" w14:textId="77777777" w:rsidR="00F13E0C" w:rsidRPr="000B6467" w:rsidRDefault="00F13E0C" w:rsidP="00F13E0C">
      <w:pPr>
        <w:jc w:val="both"/>
        <w:rPr>
          <w:rFonts w:ascii="Arial" w:hAnsi="Arial" w:cs="Arial"/>
          <w:bCs/>
          <w:sz w:val="18"/>
          <w:szCs w:val="18"/>
          <w:lang w:val="en-US"/>
        </w:rPr>
      </w:pPr>
    </w:p>
    <w:p w14:paraId="3BE6CD7C" w14:textId="42D8929D" w:rsidR="00DB6D60" w:rsidRPr="00CF1DC5" w:rsidRDefault="00B359B5" w:rsidP="00DB6D60">
      <w:pPr>
        <w:rPr>
          <w:rFonts w:ascii="Arial" w:hAnsi="Arial" w:cs="Arial"/>
          <w:iCs/>
          <w:sz w:val="18"/>
          <w:szCs w:val="18"/>
        </w:rPr>
      </w:pPr>
      <w:r w:rsidRPr="00B359B5">
        <w:rPr>
          <w:rFonts w:ascii="Arial" w:hAnsi="Arial" w:cs="Arial"/>
          <w:iCs/>
          <w:sz w:val="18"/>
          <w:szCs w:val="18"/>
        </w:rPr>
        <w:t>The International Accounting Standards Board (IASB) issued various amendments and revisions to International Financial Reporting Standards and IFRIC interpretations. The amendments and revisions were applicable for the period ended 30 June 2022 but did not result in any material changes to the financial statements of the Group or Company.</w:t>
      </w:r>
    </w:p>
    <w:p w14:paraId="7FC009AB" w14:textId="77777777" w:rsidR="00DB6D60" w:rsidRPr="00CF1DC5" w:rsidRDefault="00DB6D60" w:rsidP="00DB6D60">
      <w:pPr>
        <w:keepNext/>
        <w:outlineLvl w:val="0"/>
        <w:rPr>
          <w:rFonts w:ascii="Arial" w:hAnsi="Arial" w:cs="Arial"/>
          <w:i/>
          <w:iCs/>
          <w:sz w:val="18"/>
          <w:szCs w:val="18"/>
        </w:rPr>
      </w:pPr>
      <w:r w:rsidRPr="00CF1DC5">
        <w:rPr>
          <w:rFonts w:ascii="Arial" w:hAnsi="Arial" w:cs="Arial"/>
          <w:i/>
          <w:iCs/>
          <w:sz w:val="18"/>
          <w:szCs w:val="18"/>
        </w:rPr>
        <w:lastRenderedPageBreak/>
        <w:t xml:space="preserve">(b) </w:t>
      </w:r>
      <w:r w:rsidRPr="00CF1DC5">
        <w:rPr>
          <w:rFonts w:ascii="Arial" w:hAnsi="Arial" w:cs="Arial"/>
          <w:i/>
          <w:iCs/>
          <w:sz w:val="18"/>
          <w:szCs w:val="18"/>
          <w:lang w:val="en-US"/>
        </w:rPr>
        <w:t xml:space="preserve">New standards, </w:t>
      </w:r>
      <w:proofErr w:type="gramStart"/>
      <w:r w:rsidRPr="00CF1DC5">
        <w:rPr>
          <w:rFonts w:ascii="Arial" w:hAnsi="Arial" w:cs="Arial"/>
          <w:i/>
          <w:iCs/>
          <w:sz w:val="18"/>
          <w:szCs w:val="18"/>
          <w:lang w:val="en-US"/>
        </w:rPr>
        <w:t>amendments</w:t>
      </w:r>
      <w:proofErr w:type="gramEnd"/>
      <w:r w:rsidRPr="00CF1DC5">
        <w:rPr>
          <w:rFonts w:ascii="Arial" w:hAnsi="Arial" w:cs="Arial"/>
          <w:i/>
          <w:iCs/>
          <w:sz w:val="18"/>
          <w:szCs w:val="18"/>
          <w:lang w:val="en-US"/>
        </w:rPr>
        <w:t xml:space="preserve"> and interpretations in issue but not yet effective or not yet endorsed and not early adopted</w:t>
      </w:r>
    </w:p>
    <w:p w14:paraId="46FF80AA" w14:textId="77777777" w:rsidR="00250CB2" w:rsidRPr="00CF1DC5" w:rsidRDefault="00250CB2" w:rsidP="00250CB2">
      <w:pPr>
        <w:keepNext/>
        <w:outlineLvl w:val="0"/>
        <w:rPr>
          <w:rFonts w:ascii="Arial" w:hAnsi="Arial" w:cs="Arial"/>
          <w:sz w:val="18"/>
          <w:szCs w:val="18"/>
        </w:rPr>
      </w:pPr>
    </w:p>
    <w:p w14:paraId="6C8D3A55" w14:textId="2691EB60" w:rsidR="00250CB2" w:rsidRPr="00CF1DC5" w:rsidRDefault="00250CB2" w:rsidP="00250CB2">
      <w:pPr>
        <w:keepNext/>
        <w:outlineLvl w:val="0"/>
        <w:rPr>
          <w:rFonts w:ascii="Arial" w:hAnsi="Arial" w:cs="Arial"/>
          <w:sz w:val="18"/>
          <w:szCs w:val="18"/>
        </w:rPr>
      </w:pPr>
      <w:r w:rsidRPr="00CF1DC5">
        <w:rPr>
          <w:rFonts w:ascii="Arial" w:hAnsi="Arial" w:cs="Arial"/>
          <w:sz w:val="18"/>
          <w:szCs w:val="18"/>
        </w:rPr>
        <w:t xml:space="preserve">Standards, </w:t>
      </w:r>
      <w:proofErr w:type="gramStart"/>
      <w:r w:rsidRPr="00CF1DC5">
        <w:rPr>
          <w:rFonts w:ascii="Arial" w:hAnsi="Arial" w:cs="Arial"/>
          <w:sz w:val="18"/>
          <w:szCs w:val="18"/>
        </w:rPr>
        <w:t>amendments</w:t>
      </w:r>
      <w:proofErr w:type="gramEnd"/>
      <w:r w:rsidRPr="00CF1DC5">
        <w:rPr>
          <w:rFonts w:ascii="Arial" w:hAnsi="Arial" w:cs="Arial"/>
          <w:sz w:val="18"/>
          <w:szCs w:val="18"/>
        </w:rPr>
        <w:t xml:space="preserve"> and interpretations that are not yet effective and have not been early adopted are as follows:</w:t>
      </w:r>
    </w:p>
    <w:p w14:paraId="0103BB9B" w14:textId="32210F66" w:rsidR="00250CB2" w:rsidRPr="00CF1DC5" w:rsidRDefault="00250CB2" w:rsidP="00250CB2">
      <w:pPr>
        <w:keepNext/>
        <w:outlineLvl w:val="0"/>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4275"/>
        <w:gridCol w:w="2490"/>
      </w:tblGrid>
      <w:tr w:rsidR="00B359B5" w:rsidRPr="00AD2E2A" w14:paraId="5AD5F1A1" w14:textId="77777777" w:rsidTr="00B359B5">
        <w:tc>
          <w:tcPr>
            <w:tcW w:w="2565" w:type="dxa"/>
            <w:tcBorders>
              <w:top w:val="single" w:sz="6" w:space="0" w:color="FFFFFF"/>
              <w:left w:val="single" w:sz="6" w:space="0" w:color="FFFFFF"/>
              <w:bottom w:val="single" w:sz="6" w:space="0" w:color="000000"/>
              <w:right w:val="single" w:sz="6" w:space="0" w:color="FFFFFF"/>
            </w:tcBorders>
            <w:shd w:val="clear" w:color="auto" w:fill="auto"/>
            <w:hideMark/>
          </w:tcPr>
          <w:p w14:paraId="2257C7B6" w14:textId="77777777" w:rsidR="00B359B5" w:rsidRPr="00CF1DC5" w:rsidRDefault="00B359B5" w:rsidP="00B359B5">
            <w:pPr>
              <w:keepNext/>
              <w:outlineLvl w:val="0"/>
              <w:rPr>
                <w:rFonts w:ascii="Arial" w:hAnsi="Arial" w:cs="Arial"/>
                <w:sz w:val="18"/>
                <w:szCs w:val="18"/>
              </w:rPr>
            </w:pPr>
            <w:r w:rsidRPr="00CF1DC5">
              <w:rPr>
                <w:rFonts w:ascii="Arial" w:hAnsi="Arial" w:cs="Arial"/>
                <w:b/>
                <w:bCs/>
                <w:sz w:val="18"/>
                <w:szCs w:val="18"/>
              </w:rPr>
              <w:t>Standard  </w:t>
            </w:r>
            <w:r w:rsidRPr="00CF1DC5">
              <w:rPr>
                <w:rFonts w:ascii="Arial" w:hAnsi="Arial" w:cs="Arial"/>
                <w:sz w:val="18"/>
                <w:szCs w:val="18"/>
              </w:rPr>
              <w:t> </w:t>
            </w:r>
          </w:p>
        </w:tc>
        <w:tc>
          <w:tcPr>
            <w:tcW w:w="4275" w:type="dxa"/>
            <w:tcBorders>
              <w:top w:val="single" w:sz="6" w:space="0" w:color="FFFFFF"/>
              <w:left w:val="single" w:sz="6" w:space="0" w:color="FFFFFF"/>
              <w:bottom w:val="single" w:sz="6" w:space="0" w:color="000000"/>
              <w:right w:val="single" w:sz="6" w:space="0" w:color="FFFFFF"/>
            </w:tcBorders>
            <w:shd w:val="clear" w:color="auto" w:fill="auto"/>
            <w:hideMark/>
          </w:tcPr>
          <w:p w14:paraId="1C955155" w14:textId="77777777" w:rsidR="00B359B5" w:rsidRPr="00CF1DC5" w:rsidRDefault="00B359B5" w:rsidP="00B359B5">
            <w:pPr>
              <w:keepNext/>
              <w:outlineLvl w:val="0"/>
              <w:rPr>
                <w:rFonts w:ascii="Arial" w:hAnsi="Arial" w:cs="Arial"/>
                <w:sz w:val="18"/>
                <w:szCs w:val="18"/>
              </w:rPr>
            </w:pPr>
            <w:r w:rsidRPr="00CF1DC5">
              <w:rPr>
                <w:rFonts w:ascii="Arial" w:hAnsi="Arial" w:cs="Arial"/>
                <w:b/>
                <w:bCs/>
                <w:sz w:val="18"/>
                <w:szCs w:val="18"/>
              </w:rPr>
              <w:t>Impact on initial application</w:t>
            </w:r>
            <w:r w:rsidRPr="00CF1DC5">
              <w:rPr>
                <w:rFonts w:ascii="Arial" w:hAnsi="Arial" w:cs="Arial"/>
                <w:sz w:val="18"/>
                <w:szCs w:val="18"/>
              </w:rPr>
              <w:t> </w:t>
            </w:r>
          </w:p>
        </w:tc>
        <w:tc>
          <w:tcPr>
            <w:tcW w:w="2490" w:type="dxa"/>
            <w:tcBorders>
              <w:top w:val="single" w:sz="6" w:space="0" w:color="FFFFFF"/>
              <w:left w:val="single" w:sz="6" w:space="0" w:color="FFFFFF"/>
              <w:bottom w:val="single" w:sz="6" w:space="0" w:color="000000"/>
              <w:right w:val="single" w:sz="6" w:space="0" w:color="FFFFFF"/>
            </w:tcBorders>
            <w:shd w:val="clear" w:color="auto" w:fill="auto"/>
            <w:hideMark/>
          </w:tcPr>
          <w:p w14:paraId="275DF6E8" w14:textId="77777777" w:rsidR="00B359B5" w:rsidRPr="00CF1DC5" w:rsidRDefault="00B359B5" w:rsidP="00B359B5">
            <w:pPr>
              <w:keepNext/>
              <w:outlineLvl w:val="0"/>
              <w:rPr>
                <w:rFonts w:ascii="Arial" w:hAnsi="Arial" w:cs="Arial"/>
                <w:sz w:val="18"/>
                <w:szCs w:val="18"/>
              </w:rPr>
            </w:pPr>
            <w:r w:rsidRPr="00CF1DC5">
              <w:rPr>
                <w:rFonts w:ascii="Arial" w:hAnsi="Arial" w:cs="Arial"/>
                <w:b/>
                <w:bCs/>
                <w:sz w:val="18"/>
                <w:szCs w:val="18"/>
              </w:rPr>
              <w:t>Effective date</w:t>
            </w:r>
            <w:r w:rsidRPr="00CF1DC5">
              <w:rPr>
                <w:rFonts w:ascii="Arial" w:hAnsi="Arial" w:cs="Arial"/>
                <w:sz w:val="18"/>
                <w:szCs w:val="18"/>
              </w:rPr>
              <w:t> </w:t>
            </w:r>
          </w:p>
        </w:tc>
      </w:tr>
      <w:tr w:rsidR="00B359B5" w:rsidRPr="00AD2E2A" w14:paraId="3CE1D559" w14:textId="77777777" w:rsidTr="00B359B5">
        <w:tc>
          <w:tcPr>
            <w:tcW w:w="2565" w:type="dxa"/>
            <w:tcBorders>
              <w:top w:val="single" w:sz="6" w:space="0" w:color="FFFFFF"/>
              <w:left w:val="single" w:sz="6" w:space="0" w:color="FFFFFF"/>
              <w:bottom w:val="single" w:sz="6" w:space="0" w:color="FFFFFF"/>
              <w:right w:val="single" w:sz="6" w:space="0" w:color="FFFFFF"/>
            </w:tcBorders>
            <w:shd w:val="clear" w:color="auto" w:fill="auto"/>
            <w:hideMark/>
          </w:tcPr>
          <w:p w14:paraId="5CA3950A"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IAS 12 </w:t>
            </w:r>
          </w:p>
        </w:tc>
        <w:tc>
          <w:tcPr>
            <w:tcW w:w="4275" w:type="dxa"/>
            <w:tcBorders>
              <w:top w:val="single" w:sz="6" w:space="0" w:color="FFFFFF"/>
              <w:left w:val="single" w:sz="6" w:space="0" w:color="FFFFFF"/>
              <w:bottom w:val="single" w:sz="6" w:space="0" w:color="FFFFFF"/>
              <w:right w:val="single" w:sz="6" w:space="0" w:color="FFFFFF"/>
            </w:tcBorders>
            <w:shd w:val="clear" w:color="auto" w:fill="auto"/>
            <w:hideMark/>
          </w:tcPr>
          <w:p w14:paraId="0A997B86"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Income taxes </w:t>
            </w:r>
          </w:p>
        </w:tc>
        <w:tc>
          <w:tcPr>
            <w:tcW w:w="2490" w:type="dxa"/>
            <w:tcBorders>
              <w:top w:val="single" w:sz="6" w:space="0" w:color="FFFFFF"/>
              <w:left w:val="single" w:sz="6" w:space="0" w:color="FFFFFF"/>
              <w:bottom w:val="single" w:sz="6" w:space="0" w:color="FFFFFF"/>
              <w:right w:val="single" w:sz="6" w:space="0" w:color="FFFFFF"/>
            </w:tcBorders>
            <w:shd w:val="clear" w:color="auto" w:fill="auto"/>
            <w:hideMark/>
          </w:tcPr>
          <w:p w14:paraId="3D2483D2"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1 January 2023 </w:t>
            </w:r>
          </w:p>
        </w:tc>
      </w:tr>
      <w:tr w:rsidR="00B359B5" w:rsidRPr="00AD2E2A" w14:paraId="3051D03A" w14:textId="77777777" w:rsidTr="00B359B5">
        <w:tc>
          <w:tcPr>
            <w:tcW w:w="2565" w:type="dxa"/>
            <w:tcBorders>
              <w:top w:val="single" w:sz="6" w:space="0" w:color="FFFFFF"/>
              <w:left w:val="single" w:sz="6" w:space="0" w:color="FFFFFF"/>
              <w:bottom w:val="single" w:sz="6" w:space="0" w:color="FFFFFF"/>
              <w:right w:val="single" w:sz="6" w:space="0" w:color="FFFFFF"/>
            </w:tcBorders>
            <w:shd w:val="clear" w:color="auto" w:fill="auto"/>
            <w:hideMark/>
          </w:tcPr>
          <w:p w14:paraId="3EC28ACD"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IFRS 17 </w:t>
            </w:r>
          </w:p>
        </w:tc>
        <w:tc>
          <w:tcPr>
            <w:tcW w:w="4275" w:type="dxa"/>
            <w:tcBorders>
              <w:top w:val="single" w:sz="6" w:space="0" w:color="FFFFFF"/>
              <w:left w:val="single" w:sz="6" w:space="0" w:color="FFFFFF"/>
              <w:bottom w:val="single" w:sz="6" w:space="0" w:color="FFFFFF"/>
              <w:right w:val="single" w:sz="6" w:space="0" w:color="FFFFFF"/>
            </w:tcBorders>
            <w:shd w:val="clear" w:color="auto" w:fill="auto"/>
            <w:hideMark/>
          </w:tcPr>
          <w:p w14:paraId="4853C1A6"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Insurance contracts </w:t>
            </w:r>
          </w:p>
        </w:tc>
        <w:tc>
          <w:tcPr>
            <w:tcW w:w="2490" w:type="dxa"/>
            <w:tcBorders>
              <w:top w:val="single" w:sz="6" w:space="0" w:color="FFFFFF"/>
              <w:left w:val="single" w:sz="6" w:space="0" w:color="FFFFFF"/>
              <w:bottom w:val="single" w:sz="6" w:space="0" w:color="FFFFFF"/>
              <w:right w:val="single" w:sz="6" w:space="0" w:color="FFFFFF"/>
            </w:tcBorders>
            <w:shd w:val="clear" w:color="auto" w:fill="auto"/>
            <w:hideMark/>
          </w:tcPr>
          <w:p w14:paraId="5038DBB7"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1 January 2023 </w:t>
            </w:r>
          </w:p>
        </w:tc>
      </w:tr>
      <w:tr w:rsidR="00B359B5" w:rsidRPr="00AD2E2A" w14:paraId="407E3F8D" w14:textId="77777777" w:rsidTr="00B359B5">
        <w:trPr>
          <w:trHeight w:val="60"/>
        </w:trPr>
        <w:tc>
          <w:tcPr>
            <w:tcW w:w="2565" w:type="dxa"/>
            <w:tcBorders>
              <w:top w:val="single" w:sz="6" w:space="0" w:color="FFFFFF"/>
              <w:left w:val="single" w:sz="6" w:space="0" w:color="FFFFFF"/>
              <w:bottom w:val="single" w:sz="6" w:space="0" w:color="FFFFFF"/>
              <w:right w:val="single" w:sz="6" w:space="0" w:color="FFFFFF"/>
            </w:tcBorders>
            <w:shd w:val="clear" w:color="auto" w:fill="auto"/>
            <w:hideMark/>
          </w:tcPr>
          <w:p w14:paraId="4DAE0541"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IAS 8 </w:t>
            </w:r>
          </w:p>
        </w:tc>
        <w:tc>
          <w:tcPr>
            <w:tcW w:w="4275" w:type="dxa"/>
            <w:tcBorders>
              <w:top w:val="single" w:sz="6" w:space="0" w:color="FFFFFF"/>
              <w:left w:val="single" w:sz="6" w:space="0" w:color="FFFFFF"/>
              <w:bottom w:val="single" w:sz="6" w:space="0" w:color="FFFFFF"/>
              <w:right w:val="single" w:sz="6" w:space="0" w:color="FFFFFF"/>
            </w:tcBorders>
            <w:shd w:val="clear" w:color="auto" w:fill="auto"/>
            <w:hideMark/>
          </w:tcPr>
          <w:p w14:paraId="280C73B1"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Accounting estimates </w:t>
            </w:r>
          </w:p>
        </w:tc>
        <w:tc>
          <w:tcPr>
            <w:tcW w:w="2490" w:type="dxa"/>
            <w:tcBorders>
              <w:top w:val="single" w:sz="6" w:space="0" w:color="FFFFFF"/>
              <w:left w:val="single" w:sz="6" w:space="0" w:color="FFFFFF"/>
              <w:bottom w:val="single" w:sz="6" w:space="0" w:color="FFFFFF"/>
              <w:right w:val="single" w:sz="6" w:space="0" w:color="FFFFFF"/>
            </w:tcBorders>
            <w:shd w:val="clear" w:color="auto" w:fill="auto"/>
            <w:hideMark/>
          </w:tcPr>
          <w:p w14:paraId="00BF286B"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1 January 2023 </w:t>
            </w:r>
          </w:p>
        </w:tc>
      </w:tr>
      <w:tr w:rsidR="00B359B5" w:rsidRPr="00AD2E2A" w14:paraId="64695C03" w14:textId="77777777" w:rsidTr="00B359B5">
        <w:trPr>
          <w:trHeight w:val="60"/>
        </w:trPr>
        <w:tc>
          <w:tcPr>
            <w:tcW w:w="2565" w:type="dxa"/>
            <w:tcBorders>
              <w:top w:val="single" w:sz="6" w:space="0" w:color="FFFFFF"/>
              <w:left w:val="single" w:sz="6" w:space="0" w:color="FFFFFF"/>
              <w:bottom w:val="single" w:sz="6" w:space="0" w:color="FFFFFF"/>
              <w:right w:val="single" w:sz="6" w:space="0" w:color="FFFFFF"/>
            </w:tcBorders>
            <w:shd w:val="clear" w:color="auto" w:fill="auto"/>
            <w:hideMark/>
          </w:tcPr>
          <w:p w14:paraId="4658E448"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IAS 1 </w:t>
            </w:r>
          </w:p>
        </w:tc>
        <w:tc>
          <w:tcPr>
            <w:tcW w:w="4275" w:type="dxa"/>
            <w:tcBorders>
              <w:top w:val="single" w:sz="6" w:space="0" w:color="FFFFFF"/>
              <w:left w:val="single" w:sz="6" w:space="0" w:color="FFFFFF"/>
              <w:bottom w:val="single" w:sz="6" w:space="0" w:color="FFFFFF"/>
              <w:right w:val="single" w:sz="6" w:space="0" w:color="FFFFFF"/>
            </w:tcBorders>
            <w:shd w:val="clear" w:color="auto" w:fill="auto"/>
            <w:hideMark/>
          </w:tcPr>
          <w:p w14:paraId="5B3A7E37"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Classification of Liabilities as Current or Non-Current. </w:t>
            </w:r>
          </w:p>
        </w:tc>
        <w:tc>
          <w:tcPr>
            <w:tcW w:w="2490" w:type="dxa"/>
            <w:tcBorders>
              <w:top w:val="single" w:sz="6" w:space="0" w:color="FFFFFF"/>
              <w:left w:val="single" w:sz="6" w:space="0" w:color="FFFFFF"/>
              <w:bottom w:val="single" w:sz="6" w:space="0" w:color="FFFFFF"/>
              <w:right w:val="single" w:sz="6" w:space="0" w:color="FFFFFF"/>
            </w:tcBorders>
            <w:shd w:val="clear" w:color="auto" w:fill="auto"/>
            <w:hideMark/>
          </w:tcPr>
          <w:p w14:paraId="6E08D892" w14:textId="77777777" w:rsidR="00B359B5" w:rsidRPr="00CF1DC5" w:rsidRDefault="00B359B5" w:rsidP="00B359B5">
            <w:pPr>
              <w:keepNext/>
              <w:outlineLvl w:val="0"/>
              <w:rPr>
                <w:rFonts w:ascii="Arial" w:hAnsi="Arial" w:cs="Arial"/>
                <w:sz w:val="18"/>
                <w:szCs w:val="18"/>
              </w:rPr>
            </w:pPr>
            <w:r w:rsidRPr="00CF1DC5">
              <w:rPr>
                <w:rFonts w:ascii="Arial" w:hAnsi="Arial" w:cs="Arial"/>
                <w:sz w:val="18"/>
                <w:szCs w:val="18"/>
              </w:rPr>
              <w:t>1 January 2023 </w:t>
            </w:r>
          </w:p>
        </w:tc>
      </w:tr>
    </w:tbl>
    <w:p w14:paraId="3958833D" w14:textId="77777777" w:rsidR="00B359B5" w:rsidRPr="00CF1DC5" w:rsidRDefault="00B359B5" w:rsidP="00250CB2">
      <w:pPr>
        <w:keepNext/>
        <w:outlineLvl w:val="0"/>
        <w:rPr>
          <w:rFonts w:ascii="Arial" w:hAnsi="Arial" w:cs="Arial"/>
          <w:sz w:val="18"/>
          <w:szCs w:val="18"/>
        </w:rPr>
      </w:pPr>
    </w:p>
    <w:p w14:paraId="4A093006" w14:textId="03FA7DF2" w:rsidR="00250CB2" w:rsidRPr="005F6D82" w:rsidRDefault="00250CB2" w:rsidP="00250CB2">
      <w:pPr>
        <w:keepNext/>
        <w:outlineLvl w:val="0"/>
        <w:rPr>
          <w:rFonts w:ascii="Arial" w:hAnsi="Arial" w:cs="Arial"/>
          <w:sz w:val="18"/>
          <w:szCs w:val="18"/>
          <w:lang w:val="en-US"/>
        </w:rPr>
      </w:pPr>
      <w:r w:rsidRPr="00CF1DC5">
        <w:rPr>
          <w:rFonts w:ascii="Arial" w:hAnsi="Arial" w:cs="Arial"/>
          <w:sz w:val="18"/>
          <w:szCs w:val="18"/>
          <w:lang w:val="en-US"/>
        </w:rPr>
        <w:t>The Group is evaluating the impact of the new and amended standards above which are not expected to have a material impact on the Group’s results or shareholders’ funds</w:t>
      </w:r>
      <w:r w:rsidR="00B359B5" w:rsidRPr="00B359B5">
        <w:rPr>
          <w:rFonts w:ascii="Arial" w:hAnsi="Arial" w:cs="Arial"/>
          <w:sz w:val="18"/>
          <w:szCs w:val="18"/>
          <w:lang w:val="en-US"/>
        </w:rPr>
        <w:t>.</w:t>
      </w:r>
    </w:p>
    <w:p w14:paraId="25C87AE7" w14:textId="77777777" w:rsidR="00484FAD" w:rsidRPr="00820C5F" w:rsidRDefault="00484FAD" w:rsidP="00372DC1">
      <w:pPr>
        <w:keepNext/>
        <w:tabs>
          <w:tab w:val="right" w:pos="5954"/>
          <w:tab w:val="right" w:pos="7655"/>
          <w:tab w:val="right" w:pos="9356"/>
        </w:tabs>
        <w:jc w:val="both"/>
        <w:rPr>
          <w:rFonts w:ascii="Arial" w:hAnsi="Arial" w:cs="Arial"/>
          <w:b/>
          <w:sz w:val="18"/>
          <w:szCs w:val="18"/>
        </w:rPr>
      </w:pPr>
    </w:p>
    <w:p w14:paraId="171FAC63" w14:textId="77777777" w:rsidR="00D52BB7" w:rsidRDefault="00F73B82" w:rsidP="00973E86">
      <w:pPr>
        <w:keepNext/>
        <w:keepLines/>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r>
        <w:rPr>
          <w:rFonts w:ascii="Arial" w:hAnsi="Arial" w:cs="Arial"/>
          <w:b/>
          <w:sz w:val="20"/>
        </w:rPr>
        <w:t>4</w:t>
      </w:r>
      <w:r w:rsidR="00D52BB7" w:rsidRPr="00DE58AD">
        <w:rPr>
          <w:rFonts w:ascii="Arial" w:hAnsi="Arial" w:cs="Arial"/>
          <w:b/>
          <w:sz w:val="20"/>
        </w:rPr>
        <w:t>.</w:t>
      </w:r>
      <w:r w:rsidR="00D52BB7" w:rsidRPr="00DE58AD">
        <w:rPr>
          <w:rFonts w:ascii="Arial" w:hAnsi="Arial" w:cs="Arial"/>
          <w:b/>
          <w:sz w:val="20"/>
        </w:rPr>
        <w:tab/>
      </w:r>
      <w:r w:rsidR="00973E86">
        <w:rPr>
          <w:rFonts w:ascii="Arial" w:hAnsi="Arial" w:cs="Arial"/>
          <w:b/>
          <w:bCs/>
          <w:sz w:val="20"/>
        </w:rPr>
        <w:t>Dividends</w:t>
      </w:r>
    </w:p>
    <w:p w14:paraId="35251BD8" w14:textId="77777777" w:rsidR="00973E86" w:rsidRDefault="00973E86" w:rsidP="00973E86">
      <w:pPr>
        <w:keepNext/>
        <w:keepLines/>
        <w:tabs>
          <w:tab w:val="left" w:pos="346"/>
          <w:tab w:val="left" w:pos="720"/>
          <w:tab w:val="left" w:pos="1151"/>
          <w:tab w:val="decimal" w:pos="6049"/>
          <w:tab w:val="decimal" w:pos="7342"/>
          <w:tab w:val="decimal" w:pos="8640"/>
          <w:tab w:val="decimal" w:pos="9836"/>
        </w:tabs>
        <w:suppressAutoHyphens/>
        <w:jc w:val="both"/>
        <w:rPr>
          <w:rFonts w:ascii="Arial" w:hAnsi="Arial" w:cs="Arial"/>
          <w:sz w:val="18"/>
          <w:szCs w:val="18"/>
        </w:rPr>
      </w:pPr>
    </w:p>
    <w:p w14:paraId="6BAA0B0D" w14:textId="38CE0C50" w:rsidR="00B6046E" w:rsidRPr="00796DA7" w:rsidRDefault="00D70540" w:rsidP="00796DA7">
      <w:pPr>
        <w:keepNext/>
        <w:keepLines/>
        <w:tabs>
          <w:tab w:val="left" w:pos="346"/>
          <w:tab w:val="left" w:pos="720"/>
          <w:tab w:val="left" w:pos="1151"/>
          <w:tab w:val="decimal" w:pos="6049"/>
          <w:tab w:val="decimal" w:pos="7342"/>
          <w:tab w:val="decimal" w:pos="8640"/>
          <w:tab w:val="decimal" w:pos="9836"/>
        </w:tabs>
        <w:suppressAutoHyphens/>
        <w:jc w:val="both"/>
        <w:rPr>
          <w:rFonts w:ascii="Arial" w:hAnsi="Arial" w:cs="Arial"/>
          <w:sz w:val="18"/>
          <w:szCs w:val="18"/>
        </w:rPr>
      </w:pPr>
      <w:r w:rsidRPr="00D70540">
        <w:rPr>
          <w:rFonts w:ascii="Arial" w:hAnsi="Arial" w:cs="Arial"/>
          <w:sz w:val="18"/>
          <w:szCs w:val="18"/>
        </w:rPr>
        <w:t xml:space="preserve">No dividend has been declared or paid by the Company during the </w:t>
      </w:r>
      <w:r w:rsidR="000A2A8A">
        <w:rPr>
          <w:rFonts w:ascii="Arial" w:hAnsi="Arial" w:cs="Arial"/>
          <w:sz w:val="18"/>
          <w:szCs w:val="18"/>
        </w:rPr>
        <w:t>six</w:t>
      </w:r>
      <w:r w:rsidRPr="00D70540">
        <w:rPr>
          <w:rFonts w:ascii="Arial" w:hAnsi="Arial" w:cs="Arial"/>
          <w:sz w:val="18"/>
          <w:szCs w:val="18"/>
        </w:rPr>
        <w:t xml:space="preserve"> months ended 3</w:t>
      </w:r>
      <w:r w:rsidR="004A6AAF">
        <w:rPr>
          <w:rFonts w:ascii="Arial" w:hAnsi="Arial" w:cs="Arial"/>
          <w:sz w:val="18"/>
          <w:szCs w:val="18"/>
        </w:rPr>
        <w:t>0</w:t>
      </w:r>
      <w:r w:rsidRPr="00D70540">
        <w:rPr>
          <w:rFonts w:ascii="Arial" w:hAnsi="Arial" w:cs="Arial"/>
          <w:sz w:val="18"/>
          <w:szCs w:val="18"/>
        </w:rPr>
        <w:t xml:space="preserve"> </w:t>
      </w:r>
      <w:r w:rsidR="004A6AAF">
        <w:rPr>
          <w:rFonts w:ascii="Arial" w:hAnsi="Arial" w:cs="Arial"/>
          <w:sz w:val="18"/>
          <w:szCs w:val="18"/>
        </w:rPr>
        <w:t>June</w:t>
      </w:r>
      <w:r w:rsidRPr="00D70540">
        <w:rPr>
          <w:rFonts w:ascii="Arial" w:hAnsi="Arial" w:cs="Arial"/>
          <w:sz w:val="18"/>
          <w:szCs w:val="18"/>
        </w:rPr>
        <w:t xml:space="preserve"> </w:t>
      </w:r>
      <w:r w:rsidR="00250CB2" w:rsidRPr="00D70540">
        <w:rPr>
          <w:rFonts w:ascii="Arial" w:hAnsi="Arial" w:cs="Arial"/>
          <w:sz w:val="18"/>
          <w:szCs w:val="18"/>
        </w:rPr>
        <w:t>20</w:t>
      </w:r>
      <w:r w:rsidR="00250CB2">
        <w:rPr>
          <w:rFonts w:ascii="Arial" w:hAnsi="Arial" w:cs="Arial"/>
          <w:sz w:val="18"/>
          <w:szCs w:val="18"/>
        </w:rPr>
        <w:t xml:space="preserve">22 </w:t>
      </w:r>
      <w:r>
        <w:rPr>
          <w:rFonts w:ascii="Arial" w:hAnsi="Arial" w:cs="Arial"/>
          <w:sz w:val="18"/>
          <w:szCs w:val="18"/>
        </w:rPr>
        <w:t>(</w:t>
      </w:r>
      <w:r w:rsidR="00250CB2">
        <w:rPr>
          <w:rFonts w:ascii="Arial" w:hAnsi="Arial" w:cs="Arial"/>
          <w:sz w:val="18"/>
          <w:szCs w:val="18"/>
        </w:rPr>
        <w:t>2021</w:t>
      </w:r>
      <w:r>
        <w:rPr>
          <w:rFonts w:ascii="Arial" w:hAnsi="Arial" w:cs="Arial"/>
          <w:sz w:val="18"/>
          <w:szCs w:val="18"/>
        </w:rPr>
        <w:t xml:space="preserve">: </w:t>
      </w:r>
      <w:r w:rsidR="0090795F">
        <w:rPr>
          <w:rFonts w:ascii="Arial" w:hAnsi="Arial" w:cs="Arial"/>
          <w:sz w:val="18"/>
          <w:szCs w:val="18"/>
        </w:rPr>
        <w:t>£</w:t>
      </w:r>
      <w:r>
        <w:rPr>
          <w:rFonts w:ascii="Arial" w:hAnsi="Arial" w:cs="Arial"/>
          <w:sz w:val="18"/>
          <w:szCs w:val="18"/>
        </w:rPr>
        <w:t>nil).</w:t>
      </w:r>
    </w:p>
    <w:p w14:paraId="6E6B4B6F" w14:textId="77777777" w:rsidR="00F87B1C" w:rsidRDefault="00F87B1C">
      <w:pPr>
        <w:rPr>
          <w:rFonts w:ascii="Arial" w:hAnsi="Arial" w:cs="Arial"/>
          <w:b/>
          <w:bCs/>
          <w:sz w:val="20"/>
        </w:rPr>
      </w:pPr>
    </w:p>
    <w:p w14:paraId="2539C25C" w14:textId="77777777" w:rsidR="00FC4BF5" w:rsidRDefault="003A42B3" w:rsidP="00ED5415">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sz w:val="20"/>
        </w:rPr>
      </w:pPr>
      <w:r>
        <w:rPr>
          <w:rFonts w:ascii="Arial" w:hAnsi="Arial" w:cs="Arial"/>
          <w:b/>
          <w:sz w:val="20"/>
        </w:rPr>
        <w:t>5</w:t>
      </w:r>
      <w:r w:rsidR="00ED5415" w:rsidRPr="00DE58AD">
        <w:rPr>
          <w:rFonts w:ascii="Arial" w:hAnsi="Arial" w:cs="Arial"/>
          <w:b/>
          <w:sz w:val="20"/>
        </w:rPr>
        <w:t>.</w:t>
      </w:r>
      <w:r w:rsidR="00ED5415" w:rsidRPr="00DE58AD">
        <w:rPr>
          <w:rFonts w:ascii="Arial" w:hAnsi="Arial" w:cs="Arial"/>
          <w:b/>
          <w:sz w:val="20"/>
        </w:rPr>
        <w:tab/>
      </w:r>
      <w:r w:rsidR="00FC4BF5">
        <w:rPr>
          <w:rFonts w:ascii="Arial" w:hAnsi="Arial" w:cs="Arial"/>
          <w:b/>
          <w:sz w:val="20"/>
        </w:rPr>
        <w:t xml:space="preserve">Property, </w:t>
      </w:r>
      <w:proofErr w:type="gramStart"/>
      <w:r w:rsidR="00FC4BF5">
        <w:rPr>
          <w:rFonts w:ascii="Arial" w:hAnsi="Arial" w:cs="Arial"/>
          <w:b/>
          <w:sz w:val="20"/>
        </w:rPr>
        <w:t>plant</w:t>
      </w:r>
      <w:proofErr w:type="gramEnd"/>
      <w:r w:rsidR="00FC4BF5">
        <w:rPr>
          <w:rFonts w:ascii="Arial" w:hAnsi="Arial" w:cs="Arial"/>
          <w:b/>
          <w:sz w:val="20"/>
        </w:rPr>
        <w:t xml:space="preserve"> and equipment</w:t>
      </w:r>
    </w:p>
    <w:tbl>
      <w:tblPr>
        <w:tblW w:w="9669" w:type="dxa"/>
        <w:tblInd w:w="108" w:type="dxa"/>
        <w:tblLayout w:type="fixed"/>
        <w:tblLook w:val="00A0" w:firstRow="1" w:lastRow="0" w:firstColumn="1" w:lastColumn="0" w:noHBand="0" w:noVBand="0"/>
      </w:tblPr>
      <w:tblGrid>
        <w:gridCol w:w="3490"/>
        <w:gridCol w:w="1722"/>
        <w:gridCol w:w="1225"/>
        <w:gridCol w:w="1170"/>
        <w:gridCol w:w="1031"/>
        <w:gridCol w:w="1031"/>
      </w:tblGrid>
      <w:tr w:rsidR="00CA2DA2" w:rsidRPr="00AD2E2A" w14:paraId="3CA59FEA" w14:textId="77777777" w:rsidTr="00CF1DC5">
        <w:trPr>
          <w:trHeight w:val="667"/>
        </w:trPr>
        <w:tc>
          <w:tcPr>
            <w:tcW w:w="3490" w:type="dxa"/>
            <w:tcBorders>
              <w:bottom w:val="single" w:sz="2" w:space="0" w:color="000000"/>
            </w:tcBorders>
            <w:vAlign w:val="bottom"/>
          </w:tcPr>
          <w:p w14:paraId="33E1FF97"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rPr>
                <w:rFonts w:ascii="Arial" w:hAnsi="Arial" w:cs="Arial"/>
                <w:color w:val="000000" w:themeColor="text1"/>
                <w:sz w:val="15"/>
                <w:szCs w:val="15"/>
              </w:rPr>
            </w:pPr>
          </w:p>
        </w:tc>
        <w:tc>
          <w:tcPr>
            <w:tcW w:w="1722" w:type="dxa"/>
            <w:tcBorders>
              <w:bottom w:val="single" w:sz="2" w:space="0" w:color="000000"/>
            </w:tcBorders>
            <w:vAlign w:val="bottom"/>
          </w:tcPr>
          <w:p w14:paraId="0017183B"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Software</w:t>
            </w:r>
          </w:p>
          <w:p w14:paraId="110930C8"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w:t>
            </w:r>
          </w:p>
        </w:tc>
        <w:tc>
          <w:tcPr>
            <w:tcW w:w="1225" w:type="dxa"/>
            <w:tcBorders>
              <w:bottom w:val="single" w:sz="2" w:space="0" w:color="000000"/>
            </w:tcBorders>
            <w:vAlign w:val="bottom"/>
          </w:tcPr>
          <w:p w14:paraId="28A1159E"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Machinery &amp; equipment</w:t>
            </w:r>
          </w:p>
          <w:p w14:paraId="46C70EEE"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w:t>
            </w:r>
          </w:p>
        </w:tc>
        <w:tc>
          <w:tcPr>
            <w:tcW w:w="1170" w:type="dxa"/>
            <w:tcBorders>
              <w:bottom w:val="single" w:sz="2" w:space="0" w:color="000000"/>
            </w:tcBorders>
            <w:vAlign w:val="bottom"/>
          </w:tcPr>
          <w:p w14:paraId="5D94A17E"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Office equipment</w:t>
            </w:r>
          </w:p>
          <w:p w14:paraId="2A04413B"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w:t>
            </w:r>
          </w:p>
        </w:tc>
        <w:tc>
          <w:tcPr>
            <w:tcW w:w="1031" w:type="dxa"/>
            <w:tcBorders>
              <w:bottom w:val="single" w:sz="2" w:space="0" w:color="000000"/>
            </w:tcBorders>
            <w:vAlign w:val="bottom"/>
          </w:tcPr>
          <w:p w14:paraId="004741D7"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 xml:space="preserve">Right of use </w:t>
            </w:r>
            <w:r w:rsidR="003B7B86" w:rsidRPr="00F94E46">
              <w:rPr>
                <w:rFonts w:ascii="Arial" w:hAnsi="Arial" w:cs="Arial"/>
                <w:b/>
                <w:color w:val="000000" w:themeColor="text1"/>
                <w:sz w:val="15"/>
                <w:szCs w:val="15"/>
              </w:rPr>
              <w:t>assets</w:t>
            </w:r>
          </w:p>
          <w:p w14:paraId="48B57A92"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w:t>
            </w:r>
          </w:p>
        </w:tc>
        <w:tc>
          <w:tcPr>
            <w:tcW w:w="1031" w:type="dxa"/>
            <w:tcBorders>
              <w:bottom w:val="single" w:sz="2" w:space="0" w:color="000000"/>
            </w:tcBorders>
            <w:vAlign w:val="bottom"/>
          </w:tcPr>
          <w:p w14:paraId="752C05FC"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b/>
                <w:color w:val="000000" w:themeColor="text1"/>
                <w:sz w:val="15"/>
                <w:szCs w:val="15"/>
              </w:rPr>
            </w:pPr>
            <w:r w:rsidRPr="00F94E46">
              <w:rPr>
                <w:rFonts w:ascii="Arial" w:hAnsi="Arial" w:cs="Arial"/>
                <w:b/>
                <w:color w:val="000000" w:themeColor="text1"/>
                <w:sz w:val="15"/>
                <w:szCs w:val="15"/>
              </w:rPr>
              <w:t>Total</w:t>
            </w:r>
          </w:p>
          <w:p w14:paraId="34EE7FB2" w14:textId="77777777" w:rsidR="00CA2DA2" w:rsidRPr="00F94E46" w:rsidRDefault="00CA2DA2" w:rsidP="00CA2DA2">
            <w:pPr>
              <w:keepNext/>
              <w:keepLines/>
              <w:tabs>
                <w:tab w:val="left" w:pos="346"/>
                <w:tab w:val="left" w:pos="720"/>
                <w:tab w:val="left" w:pos="1151"/>
                <w:tab w:val="decimal" w:pos="6049"/>
                <w:tab w:val="decimal" w:pos="7342"/>
                <w:tab w:val="decimal" w:pos="8640"/>
                <w:tab w:val="decimal" w:pos="9836"/>
              </w:tabs>
              <w:suppressAutoHyphens/>
              <w:spacing w:before="60"/>
              <w:jc w:val="right"/>
              <w:rPr>
                <w:rFonts w:ascii="Arial" w:hAnsi="Arial" w:cs="Arial"/>
                <w:color w:val="000000" w:themeColor="text1"/>
                <w:sz w:val="15"/>
                <w:szCs w:val="15"/>
              </w:rPr>
            </w:pPr>
            <w:r w:rsidRPr="00F94E46">
              <w:rPr>
                <w:rFonts w:ascii="Arial" w:hAnsi="Arial" w:cs="Arial"/>
                <w:b/>
                <w:color w:val="000000" w:themeColor="text1"/>
                <w:sz w:val="15"/>
                <w:szCs w:val="15"/>
              </w:rPr>
              <w:t>£</w:t>
            </w:r>
          </w:p>
        </w:tc>
      </w:tr>
      <w:tr w:rsidR="00CA2DA2" w:rsidRPr="00AD2E2A" w14:paraId="547F84D5" w14:textId="77777777" w:rsidTr="00CF1DC5">
        <w:trPr>
          <w:trHeight w:val="294"/>
        </w:trPr>
        <w:tc>
          <w:tcPr>
            <w:tcW w:w="3490" w:type="dxa"/>
            <w:tcBorders>
              <w:top w:val="single" w:sz="2" w:space="0" w:color="000000"/>
            </w:tcBorders>
            <w:vAlign w:val="bottom"/>
          </w:tcPr>
          <w:p w14:paraId="38F49C17"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bCs/>
                <w:color w:val="000000" w:themeColor="text1"/>
                <w:sz w:val="15"/>
                <w:szCs w:val="15"/>
              </w:rPr>
            </w:pPr>
            <w:r w:rsidRPr="00F94E46">
              <w:rPr>
                <w:rFonts w:ascii="Arial" w:hAnsi="Arial" w:cs="Arial"/>
                <w:b/>
                <w:bCs/>
                <w:color w:val="000000" w:themeColor="text1"/>
                <w:sz w:val="15"/>
                <w:szCs w:val="15"/>
              </w:rPr>
              <w:t>Cost</w:t>
            </w:r>
          </w:p>
        </w:tc>
        <w:tc>
          <w:tcPr>
            <w:tcW w:w="1722" w:type="dxa"/>
            <w:tcBorders>
              <w:top w:val="single" w:sz="2" w:space="0" w:color="000000"/>
            </w:tcBorders>
            <w:vAlign w:val="bottom"/>
          </w:tcPr>
          <w:p w14:paraId="1B14EE28"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p>
        </w:tc>
        <w:tc>
          <w:tcPr>
            <w:tcW w:w="1225" w:type="dxa"/>
            <w:tcBorders>
              <w:top w:val="single" w:sz="2" w:space="0" w:color="000000"/>
            </w:tcBorders>
            <w:vAlign w:val="bottom"/>
          </w:tcPr>
          <w:p w14:paraId="0D01392B"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p>
        </w:tc>
        <w:tc>
          <w:tcPr>
            <w:tcW w:w="1170" w:type="dxa"/>
            <w:tcBorders>
              <w:top w:val="single" w:sz="2" w:space="0" w:color="000000"/>
            </w:tcBorders>
            <w:vAlign w:val="bottom"/>
          </w:tcPr>
          <w:p w14:paraId="02FAE8C9"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p>
        </w:tc>
        <w:tc>
          <w:tcPr>
            <w:tcW w:w="1031" w:type="dxa"/>
            <w:tcBorders>
              <w:top w:val="single" w:sz="2" w:space="0" w:color="000000"/>
            </w:tcBorders>
          </w:tcPr>
          <w:p w14:paraId="6EC12967"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p>
        </w:tc>
        <w:tc>
          <w:tcPr>
            <w:tcW w:w="1031" w:type="dxa"/>
            <w:tcBorders>
              <w:top w:val="single" w:sz="2" w:space="0" w:color="000000"/>
            </w:tcBorders>
            <w:vAlign w:val="bottom"/>
          </w:tcPr>
          <w:p w14:paraId="035E5214" w14:textId="77777777" w:rsidR="00CA2DA2" w:rsidRPr="00F94E46" w:rsidRDefault="00CA2DA2" w:rsidP="00CA2DA2">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p>
        </w:tc>
      </w:tr>
      <w:tr w:rsidR="00CA3679" w:rsidRPr="00AD2E2A" w14:paraId="1786BE6E" w14:textId="77777777" w:rsidTr="0051151D">
        <w:trPr>
          <w:trHeight w:val="294"/>
        </w:trPr>
        <w:tc>
          <w:tcPr>
            <w:tcW w:w="3490" w:type="dxa"/>
            <w:vAlign w:val="bottom"/>
          </w:tcPr>
          <w:p w14:paraId="3B17C8BB" w14:textId="375CC53C" w:rsidR="00DE1C4A" w:rsidRPr="00F94E46" w:rsidRDefault="00DE1C4A" w:rsidP="00DE1C4A">
            <w:pPr>
              <w:keepNext/>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January 2021</w:t>
            </w:r>
          </w:p>
        </w:tc>
        <w:tc>
          <w:tcPr>
            <w:tcW w:w="1722" w:type="dxa"/>
            <w:vAlign w:val="bottom"/>
          </w:tcPr>
          <w:p w14:paraId="1A7C703F" w14:textId="7D074FD5"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46,314</w:t>
            </w:r>
          </w:p>
        </w:tc>
        <w:tc>
          <w:tcPr>
            <w:tcW w:w="1225" w:type="dxa"/>
            <w:vAlign w:val="bottom"/>
          </w:tcPr>
          <w:p w14:paraId="32EAF136" w14:textId="1C8E91B2"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3,674,321</w:t>
            </w:r>
          </w:p>
        </w:tc>
        <w:tc>
          <w:tcPr>
            <w:tcW w:w="1170" w:type="dxa"/>
            <w:vAlign w:val="bottom"/>
          </w:tcPr>
          <w:p w14:paraId="7A3473AA" w14:textId="2478221F"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61,223</w:t>
            </w:r>
          </w:p>
        </w:tc>
        <w:tc>
          <w:tcPr>
            <w:tcW w:w="1031" w:type="dxa"/>
            <w:vAlign w:val="bottom"/>
          </w:tcPr>
          <w:p w14:paraId="494632CC" w14:textId="2FC1CB8A"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182,542</w:t>
            </w:r>
          </w:p>
        </w:tc>
        <w:tc>
          <w:tcPr>
            <w:tcW w:w="1031" w:type="dxa"/>
            <w:vAlign w:val="bottom"/>
          </w:tcPr>
          <w:p w14:paraId="2517A7A2" w14:textId="38AA4387"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3,964,400</w:t>
            </w:r>
          </w:p>
        </w:tc>
      </w:tr>
      <w:tr w:rsidR="00CA3679" w:rsidRPr="00AD2E2A" w14:paraId="640FFE73" w14:textId="77777777" w:rsidTr="0051151D">
        <w:trPr>
          <w:trHeight w:val="243"/>
        </w:trPr>
        <w:tc>
          <w:tcPr>
            <w:tcW w:w="3490" w:type="dxa"/>
            <w:vAlign w:val="bottom"/>
          </w:tcPr>
          <w:p w14:paraId="27444DDD" w14:textId="77777777"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Additions</w:t>
            </w:r>
          </w:p>
        </w:tc>
        <w:tc>
          <w:tcPr>
            <w:tcW w:w="1722" w:type="dxa"/>
            <w:vAlign w:val="bottom"/>
          </w:tcPr>
          <w:p w14:paraId="026BF134" w14:textId="76ED5613"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1,028</w:t>
            </w:r>
          </w:p>
        </w:tc>
        <w:tc>
          <w:tcPr>
            <w:tcW w:w="1225" w:type="dxa"/>
            <w:vAlign w:val="bottom"/>
          </w:tcPr>
          <w:p w14:paraId="02110A2C" w14:textId="0A0C146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170" w:type="dxa"/>
            <w:vAlign w:val="bottom"/>
          </w:tcPr>
          <w:p w14:paraId="62BFE8E4" w14:textId="0C77BD3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9,808</w:t>
            </w:r>
          </w:p>
        </w:tc>
        <w:tc>
          <w:tcPr>
            <w:tcW w:w="1031" w:type="dxa"/>
            <w:vAlign w:val="bottom"/>
          </w:tcPr>
          <w:p w14:paraId="7756586C" w14:textId="68A29BE1"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468B2B7C" w14:textId="4142E9B8"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10,836</w:t>
            </w:r>
          </w:p>
        </w:tc>
      </w:tr>
      <w:tr w:rsidR="00CA3679" w:rsidRPr="00AD2E2A" w14:paraId="72561EE7" w14:textId="77777777" w:rsidTr="0051151D">
        <w:trPr>
          <w:trHeight w:val="243"/>
        </w:trPr>
        <w:tc>
          <w:tcPr>
            <w:tcW w:w="3490" w:type="dxa"/>
            <w:vAlign w:val="bottom"/>
          </w:tcPr>
          <w:p w14:paraId="56974C49" w14:textId="0DDF13E3"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055675CC" w14:textId="091874A1"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vAlign w:val="bottom"/>
          </w:tcPr>
          <w:p w14:paraId="60F1CE73" w14:textId="0A3EF0A0"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(255,762)</w:t>
            </w:r>
          </w:p>
        </w:tc>
        <w:tc>
          <w:tcPr>
            <w:tcW w:w="1170" w:type="dxa"/>
            <w:vAlign w:val="bottom"/>
          </w:tcPr>
          <w:p w14:paraId="378A0C96" w14:textId="2BA1DD14"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4611A52B" w14:textId="7BAB0F85"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2DFA31D2" w14:textId="6C7F578D"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(255,762)</w:t>
            </w:r>
          </w:p>
        </w:tc>
      </w:tr>
      <w:tr w:rsidR="00CA3679" w:rsidRPr="00AD2E2A" w14:paraId="696D37DE" w14:textId="77777777" w:rsidTr="0051151D">
        <w:trPr>
          <w:trHeight w:val="243"/>
        </w:trPr>
        <w:tc>
          <w:tcPr>
            <w:tcW w:w="3490" w:type="dxa"/>
            <w:vAlign w:val="bottom"/>
          </w:tcPr>
          <w:p w14:paraId="54A169C7" w14:textId="77777777"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Exchange Differences</w:t>
            </w:r>
          </w:p>
        </w:tc>
        <w:tc>
          <w:tcPr>
            <w:tcW w:w="1722" w:type="dxa"/>
            <w:vAlign w:val="bottom"/>
          </w:tcPr>
          <w:p w14:paraId="4F63D5A1" w14:textId="3F0D0FA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vAlign w:val="bottom"/>
          </w:tcPr>
          <w:p w14:paraId="44074F44" w14:textId="731E9BBC"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(149,466)</w:t>
            </w:r>
          </w:p>
        </w:tc>
        <w:tc>
          <w:tcPr>
            <w:tcW w:w="1170" w:type="dxa"/>
            <w:vAlign w:val="bottom"/>
          </w:tcPr>
          <w:p w14:paraId="6778AC02" w14:textId="7849773A"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1B6BAD6F" w14:textId="356FD6B2"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0CE93399" w14:textId="1E8C306D"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(149,466)</w:t>
            </w:r>
          </w:p>
        </w:tc>
      </w:tr>
      <w:tr w:rsidR="00CA3679" w:rsidRPr="00AD2E2A" w14:paraId="7BAC9E68" w14:textId="77777777" w:rsidTr="0051151D">
        <w:trPr>
          <w:trHeight w:val="271"/>
        </w:trPr>
        <w:tc>
          <w:tcPr>
            <w:tcW w:w="3490" w:type="dxa"/>
            <w:tcBorders>
              <w:top w:val="single" w:sz="2" w:space="0" w:color="000000"/>
              <w:bottom w:val="single" w:sz="8" w:space="0" w:color="000000"/>
            </w:tcBorders>
            <w:vAlign w:val="bottom"/>
          </w:tcPr>
          <w:p w14:paraId="1E051DD6" w14:textId="032A7D33" w:rsidR="00DE1C4A" w:rsidRPr="00F94E46" w:rsidRDefault="00DE1C4A" w:rsidP="00DE1C4A">
            <w:pPr>
              <w:keepNext/>
              <w:tabs>
                <w:tab w:val="left" w:pos="346"/>
                <w:tab w:val="left" w:pos="720"/>
                <w:tab w:val="left" w:pos="1151"/>
                <w:tab w:val="decimal" w:pos="6049"/>
                <w:tab w:val="decimal" w:pos="7342"/>
                <w:tab w:val="decimal" w:pos="8640"/>
                <w:tab w:val="decimal" w:pos="9836"/>
              </w:tabs>
              <w:suppressAutoHyphens/>
              <w:spacing w:after="60"/>
              <w:rPr>
                <w:rFonts w:ascii="Arial" w:hAnsi="Arial" w:cs="Arial"/>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30 June 2021</w:t>
            </w:r>
          </w:p>
        </w:tc>
        <w:tc>
          <w:tcPr>
            <w:tcW w:w="1722" w:type="dxa"/>
            <w:tcBorders>
              <w:top w:val="single" w:sz="2" w:space="0" w:color="000000"/>
              <w:bottom w:val="single" w:sz="8" w:space="0" w:color="000000"/>
            </w:tcBorders>
            <w:vAlign w:val="bottom"/>
          </w:tcPr>
          <w:p w14:paraId="45565A95" w14:textId="1011B877"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color w:val="000000" w:themeColor="text1"/>
                <w:sz w:val="15"/>
                <w:szCs w:val="15"/>
              </w:rPr>
            </w:pPr>
            <w:r w:rsidRPr="00F94E46">
              <w:rPr>
                <w:rFonts w:ascii="Arial" w:hAnsi="Arial" w:cs="Arial"/>
                <w:b/>
                <w:color w:val="000000" w:themeColor="text1"/>
                <w:sz w:val="15"/>
                <w:szCs w:val="15"/>
              </w:rPr>
              <w:t>47,342</w:t>
            </w:r>
          </w:p>
        </w:tc>
        <w:tc>
          <w:tcPr>
            <w:tcW w:w="1225" w:type="dxa"/>
            <w:tcBorders>
              <w:top w:val="single" w:sz="2" w:space="0" w:color="000000"/>
              <w:bottom w:val="single" w:sz="8" w:space="0" w:color="000000"/>
            </w:tcBorders>
            <w:vAlign w:val="bottom"/>
          </w:tcPr>
          <w:p w14:paraId="1CDDD6AE" w14:textId="12DE63C9"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color w:val="000000" w:themeColor="text1"/>
                <w:sz w:val="15"/>
                <w:szCs w:val="15"/>
              </w:rPr>
            </w:pPr>
            <w:r w:rsidRPr="00F94E46">
              <w:rPr>
                <w:rFonts w:ascii="Arial" w:hAnsi="Arial" w:cs="Arial"/>
                <w:b/>
                <w:color w:val="000000" w:themeColor="text1"/>
                <w:sz w:val="15"/>
                <w:szCs w:val="15"/>
              </w:rPr>
              <w:t>3,269,093</w:t>
            </w:r>
          </w:p>
        </w:tc>
        <w:tc>
          <w:tcPr>
            <w:tcW w:w="1170" w:type="dxa"/>
            <w:tcBorders>
              <w:top w:val="single" w:sz="2" w:space="0" w:color="000000"/>
              <w:bottom w:val="single" w:sz="8" w:space="0" w:color="000000"/>
            </w:tcBorders>
            <w:vAlign w:val="bottom"/>
          </w:tcPr>
          <w:p w14:paraId="05818ECE" w14:textId="78A6C320"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color w:val="000000" w:themeColor="text1"/>
                <w:sz w:val="15"/>
                <w:szCs w:val="15"/>
              </w:rPr>
            </w:pPr>
            <w:r w:rsidRPr="00F94E46">
              <w:rPr>
                <w:rFonts w:ascii="Arial" w:hAnsi="Arial" w:cs="Arial"/>
                <w:b/>
                <w:color w:val="000000" w:themeColor="text1"/>
                <w:sz w:val="15"/>
                <w:szCs w:val="15"/>
              </w:rPr>
              <w:t>71,031</w:t>
            </w:r>
          </w:p>
        </w:tc>
        <w:tc>
          <w:tcPr>
            <w:tcW w:w="1031" w:type="dxa"/>
            <w:tcBorders>
              <w:top w:val="single" w:sz="2" w:space="0" w:color="000000"/>
              <w:bottom w:val="single" w:sz="8" w:space="0" w:color="000000"/>
            </w:tcBorders>
            <w:vAlign w:val="bottom"/>
          </w:tcPr>
          <w:p w14:paraId="56503426" w14:textId="309889CD"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color w:val="000000" w:themeColor="text1"/>
                <w:sz w:val="15"/>
                <w:szCs w:val="15"/>
              </w:rPr>
            </w:pPr>
            <w:r w:rsidRPr="00F94E46">
              <w:rPr>
                <w:rFonts w:ascii="Arial" w:hAnsi="Arial" w:cs="Arial"/>
                <w:b/>
                <w:color w:val="000000" w:themeColor="text1"/>
                <w:sz w:val="15"/>
                <w:szCs w:val="15"/>
              </w:rPr>
              <w:t>182,542</w:t>
            </w:r>
          </w:p>
        </w:tc>
        <w:tc>
          <w:tcPr>
            <w:tcW w:w="1031" w:type="dxa"/>
            <w:tcBorders>
              <w:top w:val="single" w:sz="2" w:space="0" w:color="000000"/>
              <w:bottom w:val="single" w:sz="8" w:space="0" w:color="000000"/>
            </w:tcBorders>
            <w:vAlign w:val="bottom"/>
          </w:tcPr>
          <w:p w14:paraId="5DED824D" w14:textId="66EB5BF5" w:rsidR="00DE1C4A" w:rsidRPr="00F94E46" w:rsidRDefault="00DE1C4A"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color w:val="000000" w:themeColor="text1"/>
                <w:sz w:val="15"/>
                <w:szCs w:val="15"/>
              </w:rPr>
            </w:pPr>
            <w:r w:rsidRPr="00F94E46">
              <w:rPr>
                <w:rFonts w:ascii="Arial" w:hAnsi="Arial" w:cs="Arial"/>
                <w:b/>
                <w:color w:val="000000" w:themeColor="text1"/>
                <w:sz w:val="15"/>
                <w:szCs w:val="15"/>
              </w:rPr>
              <w:t>3,570,008</w:t>
            </w:r>
          </w:p>
        </w:tc>
      </w:tr>
      <w:tr w:rsidR="00FB58B5" w:rsidRPr="00AD2E2A" w14:paraId="65163CBD" w14:textId="77777777" w:rsidTr="0051151D">
        <w:trPr>
          <w:trHeight w:val="307"/>
        </w:trPr>
        <w:tc>
          <w:tcPr>
            <w:tcW w:w="3490" w:type="dxa"/>
            <w:tcBorders>
              <w:top w:val="single" w:sz="8" w:space="0" w:color="000000"/>
            </w:tcBorders>
            <w:vAlign w:val="bottom"/>
          </w:tcPr>
          <w:p w14:paraId="28460534" w14:textId="6E33A1B7" w:rsidR="00CA3679" w:rsidRPr="00F94E46" w:rsidRDefault="00CA3679" w:rsidP="00CA3679">
            <w:pPr>
              <w:keepNext/>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July 2021</w:t>
            </w:r>
          </w:p>
        </w:tc>
        <w:tc>
          <w:tcPr>
            <w:tcW w:w="1722" w:type="dxa"/>
            <w:tcBorders>
              <w:top w:val="single" w:sz="8" w:space="0" w:color="000000"/>
            </w:tcBorders>
            <w:vAlign w:val="bottom"/>
          </w:tcPr>
          <w:p w14:paraId="21425477" w14:textId="3867DCCF" w:rsidR="00CA3679" w:rsidRPr="00F94E46" w:rsidRDefault="00CA3679"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
                <w:color w:val="000000" w:themeColor="text1"/>
                <w:sz w:val="15"/>
                <w:szCs w:val="15"/>
              </w:rPr>
              <w:t>47,342</w:t>
            </w:r>
          </w:p>
        </w:tc>
        <w:tc>
          <w:tcPr>
            <w:tcW w:w="1225" w:type="dxa"/>
            <w:tcBorders>
              <w:top w:val="single" w:sz="8" w:space="0" w:color="000000"/>
            </w:tcBorders>
            <w:vAlign w:val="bottom"/>
          </w:tcPr>
          <w:p w14:paraId="08AF1208" w14:textId="18C52829" w:rsidR="00CA3679" w:rsidRPr="00F94E46" w:rsidRDefault="00CA3679"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
                <w:color w:val="000000" w:themeColor="text1"/>
                <w:sz w:val="15"/>
                <w:szCs w:val="15"/>
              </w:rPr>
              <w:t>3,269,093</w:t>
            </w:r>
          </w:p>
        </w:tc>
        <w:tc>
          <w:tcPr>
            <w:tcW w:w="1170" w:type="dxa"/>
            <w:tcBorders>
              <w:top w:val="single" w:sz="8" w:space="0" w:color="000000"/>
            </w:tcBorders>
            <w:vAlign w:val="bottom"/>
          </w:tcPr>
          <w:p w14:paraId="3F53643E" w14:textId="179CBF93" w:rsidR="00CA3679" w:rsidRPr="00F94E46" w:rsidRDefault="00CA3679"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
                <w:color w:val="000000" w:themeColor="text1"/>
                <w:sz w:val="15"/>
                <w:szCs w:val="15"/>
              </w:rPr>
              <w:t>71,031</w:t>
            </w:r>
          </w:p>
        </w:tc>
        <w:tc>
          <w:tcPr>
            <w:tcW w:w="1031" w:type="dxa"/>
            <w:tcBorders>
              <w:top w:val="single" w:sz="8" w:space="0" w:color="000000"/>
            </w:tcBorders>
            <w:vAlign w:val="bottom"/>
          </w:tcPr>
          <w:p w14:paraId="7D398639" w14:textId="619FBC5E" w:rsidR="00CA3679" w:rsidRPr="00F94E46" w:rsidRDefault="00CA3679"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182,542</w:t>
            </w:r>
          </w:p>
        </w:tc>
        <w:tc>
          <w:tcPr>
            <w:tcW w:w="1031" w:type="dxa"/>
            <w:tcBorders>
              <w:top w:val="single" w:sz="8" w:space="0" w:color="000000"/>
            </w:tcBorders>
            <w:vAlign w:val="bottom"/>
          </w:tcPr>
          <w:p w14:paraId="22DF2189" w14:textId="4D2D5940" w:rsidR="00CA3679" w:rsidRPr="00F94E46" w:rsidRDefault="00CA3679" w:rsidP="00490FF5">
            <w:pPr>
              <w:keepNext/>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
                <w:color w:val="000000" w:themeColor="text1"/>
                <w:sz w:val="15"/>
                <w:szCs w:val="15"/>
              </w:rPr>
              <w:t>3,570,008</w:t>
            </w:r>
          </w:p>
        </w:tc>
      </w:tr>
      <w:tr w:rsidR="00FB58B5" w:rsidRPr="00AD2E2A" w14:paraId="4E4AC309" w14:textId="77777777" w:rsidTr="0051151D">
        <w:trPr>
          <w:trHeight w:val="243"/>
        </w:trPr>
        <w:tc>
          <w:tcPr>
            <w:tcW w:w="3490" w:type="dxa"/>
            <w:vAlign w:val="bottom"/>
          </w:tcPr>
          <w:p w14:paraId="212512CD" w14:textId="77777777"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Additions</w:t>
            </w:r>
          </w:p>
        </w:tc>
        <w:tc>
          <w:tcPr>
            <w:tcW w:w="1722" w:type="dxa"/>
            <w:vAlign w:val="bottom"/>
          </w:tcPr>
          <w:p w14:paraId="264F0AC8" w14:textId="5FC5DCDE"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6,475</w:t>
            </w:r>
          </w:p>
        </w:tc>
        <w:tc>
          <w:tcPr>
            <w:tcW w:w="1225" w:type="dxa"/>
            <w:vAlign w:val="bottom"/>
          </w:tcPr>
          <w:p w14:paraId="415D58FF" w14:textId="44B70AB6"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3,604</w:t>
            </w:r>
          </w:p>
        </w:tc>
        <w:tc>
          <w:tcPr>
            <w:tcW w:w="1170" w:type="dxa"/>
            <w:vAlign w:val="bottom"/>
          </w:tcPr>
          <w:p w14:paraId="352C0D46" w14:textId="3D22CEB2"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5,122</w:t>
            </w:r>
          </w:p>
        </w:tc>
        <w:tc>
          <w:tcPr>
            <w:tcW w:w="1031" w:type="dxa"/>
            <w:vAlign w:val="bottom"/>
          </w:tcPr>
          <w:p w14:paraId="7605F9B6"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5E49BFAA" w14:textId="7B604FB0"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15,201</w:t>
            </w:r>
          </w:p>
        </w:tc>
      </w:tr>
      <w:tr w:rsidR="00FB58B5" w:rsidRPr="00AD2E2A" w14:paraId="02587487" w14:textId="77777777" w:rsidTr="0051151D">
        <w:trPr>
          <w:trHeight w:val="243"/>
        </w:trPr>
        <w:tc>
          <w:tcPr>
            <w:tcW w:w="3490" w:type="dxa"/>
            <w:vAlign w:val="bottom"/>
          </w:tcPr>
          <w:p w14:paraId="3C9DD462" w14:textId="34FA6C15"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0DE980B5" w14:textId="3EA4E092"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vAlign w:val="bottom"/>
          </w:tcPr>
          <w:p w14:paraId="51FB4FB5" w14:textId="38DE08A7"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170" w:type="dxa"/>
            <w:vAlign w:val="bottom"/>
          </w:tcPr>
          <w:p w14:paraId="312DB62F" w14:textId="4CE12876"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41B30456" w14:textId="1455A172"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(182,542)</w:t>
            </w:r>
          </w:p>
        </w:tc>
        <w:tc>
          <w:tcPr>
            <w:tcW w:w="1031" w:type="dxa"/>
            <w:vAlign w:val="bottom"/>
          </w:tcPr>
          <w:p w14:paraId="0BBA3A3A" w14:textId="38FEAFEE"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(182,542)</w:t>
            </w:r>
            <w:r w:rsidRPr="00F94E46" w:rsidDel="00ED5150">
              <w:rPr>
                <w:rFonts w:ascii="Arial" w:hAnsi="Arial" w:cs="Arial"/>
                <w:color w:val="000000" w:themeColor="text1"/>
                <w:sz w:val="15"/>
                <w:szCs w:val="15"/>
              </w:rPr>
              <w:t xml:space="preserve"> </w:t>
            </w:r>
          </w:p>
        </w:tc>
      </w:tr>
      <w:tr w:rsidR="00FB58B5" w:rsidRPr="00AD2E2A" w14:paraId="4E148031" w14:textId="77777777" w:rsidTr="0051151D">
        <w:trPr>
          <w:trHeight w:val="230"/>
        </w:trPr>
        <w:tc>
          <w:tcPr>
            <w:tcW w:w="3490" w:type="dxa"/>
            <w:tcBorders>
              <w:bottom w:val="single" w:sz="8" w:space="0" w:color="000000"/>
            </w:tcBorders>
            <w:vAlign w:val="bottom"/>
          </w:tcPr>
          <w:p w14:paraId="252907CA" w14:textId="77777777" w:rsidR="00DE1C4A" w:rsidRPr="00F94E46" w:rsidRDefault="00DE1C4A" w:rsidP="00F94E46">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Exchange Differences</w:t>
            </w:r>
          </w:p>
        </w:tc>
        <w:tc>
          <w:tcPr>
            <w:tcW w:w="1722" w:type="dxa"/>
            <w:tcBorders>
              <w:bottom w:val="single" w:sz="8" w:space="0" w:color="000000"/>
            </w:tcBorders>
            <w:vAlign w:val="bottom"/>
          </w:tcPr>
          <w:p w14:paraId="321C89DB"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tcBorders>
              <w:bottom w:val="single" w:sz="8" w:space="0" w:color="000000"/>
            </w:tcBorders>
            <w:vAlign w:val="bottom"/>
          </w:tcPr>
          <w:p w14:paraId="0BE15640" w14:textId="1DB01F52"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(68,959)</w:t>
            </w:r>
          </w:p>
        </w:tc>
        <w:tc>
          <w:tcPr>
            <w:tcW w:w="1170" w:type="dxa"/>
            <w:tcBorders>
              <w:bottom w:val="single" w:sz="8" w:space="0" w:color="000000"/>
            </w:tcBorders>
            <w:vAlign w:val="bottom"/>
          </w:tcPr>
          <w:p w14:paraId="5EB697DC" w14:textId="08AE48CF"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2</w:t>
            </w:r>
          </w:p>
        </w:tc>
        <w:tc>
          <w:tcPr>
            <w:tcW w:w="1031" w:type="dxa"/>
            <w:tcBorders>
              <w:bottom w:val="single" w:sz="8" w:space="0" w:color="000000"/>
            </w:tcBorders>
            <w:vAlign w:val="bottom"/>
          </w:tcPr>
          <w:p w14:paraId="1DECBF1F"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tcBorders>
              <w:bottom w:val="single" w:sz="8" w:space="0" w:color="000000"/>
            </w:tcBorders>
            <w:vAlign w:val="bottom"/>
          </w:tcPr>
          <w:p w14:paraId="1E6CC6D4" w14:textId="212BF3A2" w:rsidR="00DE1C4A"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(68,957)</w:t>
            </w:r>
          </w:p>
        </w:tc>
      </w:tr>
      <w:tr w:rsidR="00FB58B5" w:rsidRPr="00AD2E2A" w14:paraId="0C3E285F" w14:textId="77777777" w:rsidTr="0051151D">
        <w:trPr>
          <w:trHeight w:val="230"/>
        </w:trPr>
        <w:tc>
          <w:tcPr>
            <w:tcW w:w="3490" w:type="dxa"/>
            <w:tcBorders>
              <w:top w:val="single" w:sz="8" w:space="0" w:color="000000"/>
              <w:bottom w:val="single" w:sz="4" w:space="0" w:color="auto"/>
            </w:tcBorders>
            <w:vAlign w:val="bottom"/>
          </w:tcPr>
          <w:p w14:paraId="0386B517" w14:textId="2E2E5DCD" w:rsidR="00DE1C4A" w:rsidRPr="00F94E46" w:rsidRDefault="00DE1C4A" w:rsidP="00DE1C4A">
            <w:pPr>
              <w:keepNext/>
              <w:tabs>
                <w:tab w:val="left" w:pos="346"/>
                <w:tab w:val="left" w:pos="720"/>
                <w:tab w:val="left" w:pos="1151"/>
                <w:tab w:val="decimal" w:pos="6049"/>
                <w:tab w:val="decimal" w:pos="7342"/>
                <w:tab w:val="decimal" w:pos="8640"/>
                <w:tab w:val="decimal" w:pos="9836"/>
              </w:tabs>
              <w:suppressAutoHyphens/>
              <w:spacing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31 December 2021</w:t>
            </w:r>
          </w:p>
        </w:tc>
        <w:tc>
          <w:tcPr>
            <w:tcW w:w="1722" w:type="dxa"/>
            <w:tcBorders>
              <w:top w:val="single" w:sz="8" w:space="0" w:color="000000"/>
              <w:bottom w:val="single" w:sz="4" w:space="0" w:color="auto"/>
            </w:tcBorders>
            <w:vAlign w:val="bottom"/>
          </w:tcPr>
          <w:p w14:paraId="61DDEC4D" w14:textId="43D1540B" w:rsidR="00DE1C4A" w:rsidRPr="00F94E46" w:rsidRDefault="00FB58B5"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53,817</w:t>
            </w:r>
          </w:p>
        </w:tc>
        <w:tc>
          <w:tcPr>
            <w:tcW w:w="1225" w:type="dxa"/>
            <w:tcBorders>
              <w:top w:val="single" w:sz="8" w:space="0" w:color="000000"/>
              <w:bottom w:val="single" w:sz="4" w:space="0" w:color="auto"/>
            </w:tcBorders>
            <w:vAlign w:val="bottom"/>
          </w:tcPr>
          <w:p w14:paraId="19BF219D" w14:textId="50920A47" w:rsidR="00DE1C4A" w:rsidRPr="00F94E46" w:rsidRDefault="00FB58B5"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3,203,738</w:t>
            </w:r>
          </w:p>
        </w:tc>
        <w:tc>
          <w:tcPr>
            <w:tcW w:w="1170" w:type="dxa"/>
            <w:tcBorders>
              <w:top w:val="single" w:sz="8" w:space="0" w:color="000000"/>
              <w:bottom w:val="single" w:sz="4" w:space="0" w:color="auto"/>
            </w:tcBorders>
            <w:vAlign w:val="bottom"/>
          </w:tcPr>
          <w:p w14:paraId="54793D21" w14:textId="0DA12F4C" w:rsidR="00DE1C4A" w:rsidRPr="00F94E46" w:rsidRDefault="00FB58B5"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76,155</w:t>
            </w:r>
          </w:p>
        </w:tc>
        <w:tc>
          <w:tcPr>
            <w:tcW w:w="1031" w:type="dxa"/>
            <w:tcBorders>
              <w:top w:val="single" w:sz="8" w:space="0" w:color="000000"/>
              <w:bottom w:val="single" w:sz="4" w:space="0" w:color="auto"/>
            </w:tcBorders>
            <w:vAlign w:val="bottom"/>
          </w:tcPr>
          <w:p w14:paraId="4A2B0490" w14:textId="7BA0207E" w:rsidR="00DE1C4A" w:rsidRPr="00F94E46" w:rsidRDefault="00FB58B5"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
                <w:bCs/>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8" w:space="0" w:color="000000"/>
              <w:bottom w:val="single" w:sz="4" w:space="0" w:color="auto"/>
            </w:tcBorders>
            <w:vAlign w:val="bottom"/>
          </w:tcPr>
          <w:p w14:paraId="6F5ADF87" w14:textId="490B7038" w:rsidR="00DE1C4A" w:rsidRPr="00F94E46" w:rsidRDefault="00FB58B5" w:rsidP="00490FF5">
            <w:pPr>
              <w:keepNext/>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3,333,710</w:t>
            </w:r>
          </w:p>
        </w:tc>
      </w:tr>
      <w:tr w:rsidR="00FB58B5" w:rsidRPr="00AD2E2A" w14:paraId="23F71C0E" w14:textId="77777777" w:rsidTr="0051151D">
        <w:trPr>
          <w:trHeight w:val="307"/>
        </w:trPr>
        <w:tc>
          <w:tcPr>
            <w:tcW w:w="3490" w:type="dxa"/>
            <w:tcBorders>
              <w:top w:val="single" w:sz="8" w:space="0" w:color="000000"/>
            </w:tcBorders>
            <w:vAlign w:val="bottom"/>
          </w:tcPr>
          <w:p w14:paraId="479F6E66" w14:textId="40408EF9" w:rsidR="00FB58B5" w:rsidRPr="00F94E46" w:rsidRDefault="00FB58B5" w:rsidP="00FB58B5">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January 2022</w:t>
            </w:r>
          </w:p>
        </w:tc>
        <w:tc>
          <w:tcPr>
            <w:tcW w:w="1722" w:type="dxa"/>
            <w:tcBorders>
              <w:top w:val="single" w:sz="8" w:space="0" w:color="000000"/>
            </w:tcBorders>
            <w:vAlign w:val="bottom"/>
          </w:tcPr>
          <w:p w14:paraId="4A5B0723" w14:textId="56DCE44B" w:rsidR="00FB58B5"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53,817</w:t>
            </w:r>
          </w:p>
        </w:tc>
        <w:tc>
          <w:tcPr>
            <w:tcW w:w="1225" w:type="dxa"/>
            <w:tcBorders>
              <w:top w:val="single" w:sz="8" w:space="0" w:color="000000"/>
            </w:tcBorders>
            <w:vAlign w:val="bottom"/>
          </w:tcPr>
          <w:p w14:paraId="212D9984" w14:textId="732EE3D0" w:rsidR="00FB58B5"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3,203,738</w:t>
            </w:r>
          </w:p>
        </w:tc>
        <w:tc>
          <w:tcPr>
            <w:tcW w:w="1170" w:type="dxa"/>
            <w:tcBorders>
              <w:top w:val="single" w:sz="8" w:space="0" w:color="000000"/>
            </w:tcBorders>
            <w:vAlign w:val="bottom"/>
          </w:tcPr>
          <w:p w14:paraId="6D672196" w14:textId="68E6A935" w:rsidR="00FB58B5"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76,155</w:t>
            </w:r>
          </w:p>
        </w:tc>
        <w:tc>
          <w:tcPr>
            <w:tcW w:w="1031" w:type="dxa"/>
            <w:tcBorders>
              <w:top w:val="single" w:sz="8" w:space="0" w:color="000000"/>
            </w:tcBorders>
            <w:vAlign w:val="bottom"/>
          </w:tcPr>
          <w:p w14:paraId="28806005" w14:textId="73F63FD3" w:rsidR="00FB58B5"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8" w:space="0" w:color="000000"/>
            </w:tcBorders>
            <w:vAlign w:val="bottom"/>
          </w:tcPr>
          <w:p w14:paraId="5FF06247" w14:textId="48FB7F3B" w:rsidR="00FB58B5" w:rsidRPr="00F94E46" w:rsidRDefault="00FB58B5"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3,333,710</w:t>
            </w:r>
          </w:p>
        </w:tc>
      </w:tr>
      <w:tr w:rsidR="00ED5150" w:rsidRPr="00AD2E2A" w14:paraId="1D1CF629" w14:textId="77777777" w:rsidTr="0051151D">
        <w:trPr>
          <w:trHeight w:val="294"/>
        </w:trPr>
        <w:tc>
          <w:tcPr>
            <w:tcW w:w="3490" w:type="dxa"/>
            <w:vAlign w:val="bottom"/>
          </w:tcPr>
          <w:p w14:paraId="59FC0BE4" w14:textId="77777777"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Additions</w:t>
            </w:r>
          </w:p>
        </w:tc>
        <w:tc>
          <w:tcPr>
            <w:tcW w:w="1722" w:type="dxa"/>
            <w:vAlign w:val="bottom"/>
          </w:tcPr>
          <w:p w14:paraId="35611C9F" w14:textId="22B1879B"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225" w:type="dxa"/>
            <w:vAlign w:val="bottom"/>
          </w:tcPr>
          <w:p w14:paraId="6993BDBA" w14:textId="0FAC024E"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237,141</w:t>
            </w:r>
          </w:p>
        </w:tc>
        <w:tc>
          <w:tcPr>
            <w:tcW w:w="1170" w:type="dxa"/>
            <w:vAlign w:val="bottom"/>
          </w:tcPr>
          <w:p w14:paraId="63E26AB9" w14:textId="5A6CCFCE"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6,373</w:t>
            </w:r>
          </w:p>
        </w:tc>
        <w:tc>
          <w:tcPr>
            <w:tcW w:w="1031" w:type="dxa"/>
            <w:vAlign w:val="bottom"/>
          </w:tcPr>
          <w:p w14:paraId="00253977"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2F1A402E" w14:textId="3C3E21A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243,514</w:t>
            </w:r>
          </w:p>
        </w:tc>
      </w:tr>
      <w:tr w:rsidR="00ED5150" w:rsidRPr="00AD2E2A" w14:paraId="0AB6BF7C" w14:textId="77777777" w:rsidTr="0051151D">
        <w:trPr>
          <w:trHeight w:val="294"/>
        </w:trPr>
        <w:tc>
          <w:tcPr>
            <w:tcW w:w="3490" w:type="dxa"/>
            <w:vAlign w:val="bottom"/>
          </w:tcPr>
          <w:p w14:paraId="7B1C55C3" w14:textId="77777777"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09131600"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225" w:type="dxa"/>
            <w:vAlign w:val="bottom"/>
          </w:tcPr>
          <w:p w14:paraId="3C3FB0BA" w14:textId="189BE5EF" w:rsidR="00DE1C4A" w:rsidRPr="00F94E46" w:rsidRDefault="006E262B"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(45,693)</w:t>
            </w:r>
          </w:p>
        </w:tc>
        <w:tc>
          <w:tcPr>
            <w:tcW w:w="1170" w:type="dxa"/>
            <w:vAlign w:val="bottom"/>
          </w:tcPr>
          <w:p w14:paraId="726BA848"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2723D4C2"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24A5E108" w14:textId="4E12D328"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(45,693)</w:t>
            </w:r>
          </w:p>
        </w:tc>
      </w:tr>
      <w:tr w:rsidR="008E7296" w:rsidRPr="00AD2E2A" w14:paraId="3FBF307D" w14:textId="77777777" w:rsidTr="0051151D">
        <w:trPr>
          <w:trHeight w:val="294"/>
        </w:trPr>
        <w:tc>
          <w:tcPr>
            <w:tcW w:w="3490" w:type="dxa"/>
            <w:tcBorders>
              <w:bottom w:val="single" w:sz="4" w:space="0" w:color="auto"/>
            </w:tcBorders>
            <w:vAlign w:val="bottom"/>
          </w:tcPr>
          <w:p w14:paraId="42B6B0FD" w14:textId="77507F89" w:rsidR="008E7296" w:rsidRPr="00F94E46" w:rsidRDefault="008E7296"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Exchange Differences</w:t>
            </w:r>
          </w:p>
        </w:tc>
        <w:tc>
          <w:tcPr>
            <w:tcW w:w="1722" w:type="dxa"/>
            <w:tcBorders>
              <w:bottom w:val="single" w:sz="4" w:space="0" w:color="auto"/>
            </w:tcBorders>
            <w:vAlign w:val="bottom"/>
          </w:tcPr>
          <w:p w14:paraId="75B0B71E" w14:textId="681D7D5D" w:rsidR="008E7296" w:rsidRPr="00F94E46" w:rsidRDefault="008E729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w:t>
            </w:r>
          </w:p>
        </w:tc>
        <w:tc>
          <w:tcPr>
            <w:tcW w:w="1225" w:type="dxa"/>
            <w:tcBorders>
              <w:bottom w:val="single" w:sz="4" w:space="0" w:color="auto"/>
            </w:tcBorders>
            <w:vAlign w:val="bottom"/>
          </w:tcPr>
          <w:p w14:paraId="176DF89B" w14:textId="32AF66C6" w:rsidR="008E7296" w:rsidRPr="00F94E46" w:rsidDel="008E7296" w:rsidRDefault="006E262B"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71,389</w:t>
            </w:r>
          </w:p>
        </w:tc>
        <w:tc>
          <w:tcPr>
            <w:tcW w:w="1170" w:type="dxa"/>
            <w:tcBorders>
              <w:bottom w:val="single" w:sz="4" w:space="0" w:color="auto"/>
            </w:tcBorders>
            <w:vAlign w:val="bottom"/>
          </w:tcPr>
          <w:p w14:paraId="70E70BC7" w14:textId="2FD0BD52" w:rsidR="008E7296" w:rsidRPr="00F94E46" w:rsidDel="00520EBC"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Pr>
                <w:rFonts w:ascii="Arial" w:hAnsi="Arial" w:cs="Arial"/>
                <w:bCs/>
                <w:color w:val="000000" w:themeColor="text1"/>
                <w:sz w:val="15"/>
                <w:szCs w:val="15"/>
              </w:rPr>
              <w:t>-</w:t>
            </w:r>
          </w:p>
        </w:tc>
        <w:tc>
          <w:tcPr>
            <w:tcW w:w="1031" w:type="dxa"/>
            <w:tcBorders>
              <w:bottom w:val="single" w:sz="4" w:space="0" w:color="auto"/>
            </w:tcBorders>
            <w:vAlign w:val="bottom"/>
          </w:tcPr>
          <w:p w14:paraId="6ABBB758" w14:textId="4A1675DD" w:rsidR="008E7296" w:rsidRPr="00F94E46" w:rsidDel="00520EBC" w:rsidRDefault="008E729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tcBorders>
              <w:bottom w:val="single" w:sz="4" w:space="0" w:color="auto"/>
            </w:tcBorders>
            <w:vAlign w:val="bottom"/>
          </w:tcPr>
          <w:p w14:paraId="3E759418" w14:textId="75FBAECE" w:rsidR="008E7296"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71,389</w:t>
            </w:r>
          </w:p>
        </w:tc>
      </w:tr>
      <w:tr w:rsidR="00DE1C4A" w:rsidRPr="00AD2E2A" w14:paraId="31E69BF8" w14:textId="77777777" w:rsidTr="0051151D">
        <w:trPr>
          <w:trHeight w:val="294"/>
        </w:trPr>
        <w:tc>
          <w:tcPr>
            <w:tcW w:w="3490" w:type="dxa"/>
            <w:tcBorders>
              <w:top w:val="single" w:sz="4" w:space="0" w:color="auto"/>
              <w:bottom w:val="single" w:sz="4" w:space="0" w:color="auto"/>
            </w:tcBorders>
            <w:vAlign w:val="bottom"/>
          </w:tcPr>
          <w:p w14:paraId="2689AA9D" w14:textId="433B9733"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30 June 2022</w:t>
            </w:r>
          </w:p>
        </w:tc>
        <w:tc>
          <w:tcPr>
            <w:tcW w:w="1722" w:type="dxa"/>
            <w:tcBorders>
              <w:top w:val="single" w:sz="4" w:space="0" w:color="auto"/>
              <w:bottom w:val="single" w:sz="4" w:space="0" w:color="auto"/>
            </w:tcBorders>
            <w:vAlign w:val="bottom"/>
          </w:tcPr>
          <w:p w14:paraId="0A6314CB" w14:textId="6AED3AB1"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53,817</w:t>
            </w:r>
          </w:p>
        </w:tc>
        <w:tc>
          <w:tcPr>
            <w:tcW w:w="1225" w:type="dxa"/>
            <w:tcBorders>
              <w:top w:val="single" w:sz="4" w:space="0" w:color="auto"/>
              <w:bottom w:val="single" w:sz="4" w:space="0" w:color="auto"/>
            </w:tcBorders>
            <w:vAlign w:val="bottom"/>
          </w:tcPr>
          <w:p w14:paraId="1621555D" w14:textId="536E01A2" w:rsidR="00DE1C4A" w:rsidRPr="00F94E46" w:rsidRDefault="008E729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3,</w:t>
            </w:r>
            <w:r w:rsidR="006E262B" w:rsidRPr="00F94E46">
              <w:rPr>
                <w:rFonts w:ascii="Arial" w:hAnsi="Arial" w:cs="Arial"/>
                <w:b/>
                <w:color w:val="000000" w:themeColor="text1"/>
                <w:sz w:val="15"/>
                <w:szCs w:val="15"/>
              </w:rPr>
              <w:t>466,575</w:t>
            </w:r>
          </w:p>
        </w:tc>
        <w:tc>
          <w:tcPr>
            <w:tcW w:w="1170" w:type="dxa"/>
            <w:tcBorders>
              <w:top w:val="single" w:sz="4" w:space="0" w:color="auto"/>
              <w:bottom w:val="single" w:sz="4" w:space="0" w:color="auto"/>
            </w:tcBorders>
            <w:vAlign w:val="bottom"/>
          </w:tcPr>
          <w:p w14:paraId="17D48B4F" w14:textId="7004520B" w:rsidR="00DE1C4A"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Pr>
                <w:rFonts w:ascii="Arial" w:hAnsi="Arial" w:cs="Arial"/>
                <w:b/>
                <w:color w:val="000000" w:themeColor="text1"/>
                <w:sz w:val="15"/>
                <w:szCs w:val="15"/>
              </w:rPr>
              <w:t>82,528</w:t>
            </w:r>
          </w:p>
        </w:tc>
        <w:tc>
          <w:tcPr>
            <w:tcW w:w="1031" w:type="dxa"/>
            <w:tcBorders>
              <w:top w:val="single" w:sz="4" w:space="0" w:color="auto"/>
              <w:bottom w:val="single" w:sz="4" w:space="0" w:color="auto"/>
            </w:tcBorders>
            <w:vAlign w:val="bottom"/>
          </w:tcPr>
          <w:p w14:paraId="4FF103DB" w14:textId="70CC5047" w:rsidR="00DE1C4A"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4" w:space="0" w:color="auto"/>
              <w:bottom w:val="single" w:sz="4" w:space="0" w:color="auto"/>
            </w:tcBorders>
            <w:vAlign w:val="bottom"/>
          </w:tcPr>
          <w:p w14:paraId="6C2DBE33" w14:textId="0911F672" w:rsidR="00DE1C4A"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Pr>
                <w:rFonts w:ascii="Arial" w:hAnsi="Arial" w:cs="Arial"/>
                <w:b/>
                <w:color w:val="000000" w:themeColor="text1"/>
                <w:sz w:val="15"/>
                <w:szCs w:val="15"/>
              </w:rPr>
              <w:t>3,602,920</w:t>
            </w:r>
          </w:p>
        </w:tc>
      </w:tr>
      <w:tr w:rsidR="00DE1C4A" w:rsidRPr="00AD2E2A" w14:paraId="1B3A091F" w14:textId="77777777" w:rsidTr="0051151D">
        <w:trPr>
          <w:trHeight w:val="294"/>
        </w:trPr>
        <w:tc>
          <w:tcPr>
            <w:tcW w:w="3490" w:type="dxa"/>
            <w:tcBorders>
              <w:top w:val="single" w:sz="4" w:space="0" w:color="auto"/>
            </w:tcBorders>
            <w:vAlign w:val="bottom"/>
          </w:tcPr>
          <w:p w14:paraId="08914405" w14:textId="77777777"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p>
        </w:tc>
        <w:tc>
          <w:tcPr>
            <w:tcW w:w="1722" w:type="dxa"/>
            <w:tcBorders>
              <w:top w:val="single" w:sz="4" w:space="0" w:color="auto"/>
            </w:tcBorders>
            <w:vAlign w:val="bottom"/>
          </w:tcPr>
          <w:p w14:paraId="47EB305C"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225" w:type="dxa"/>
            <w:tcBorders>
              <w:top w:val="single" w:sz="4" w:space="0" w:color="auto"/>
            </w:tcBorders>
            <w:vAlign w:val="bottom"/>
          </w:tcPr>
          <w:p w14:paraId="24AB0A46"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170" w:type="dxa"/>
            <w:tcBorders>
              <w:top w:val="single" w:sz="4" w:space="0" w:color="auto"/>
            </w:tcBorders>
            <w:vAlign w:val="bottom"/>
          </w:tcPr>
          <w:p w14:paraId="50B5D288"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031" w:type="dxa"/>
            <w:tcBorders>
              <w:top w:val="single" w:sz="4" w:space="0" w:color="auto"/>
            </w:tcBorders>
            <w:vAlign w:val="bottom"/>
          </w:tcPr>
          <w:p w14:paraId="6A5A8099"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031" w:type="dxa"/>
            <w:tcBorders>
              <w:top w:val="single" w:sz="4" w:space="0" w:color="auto"/>
            </w:tcBorders>
            <w:vAlign w:val="bottom"/>
          </w:tcPr>
          <w:p w14:paraId="2D045B94"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r>
      <w:tr w:rsidR="00DE1C4A" w:rsidRPr="00AD2E2A" w14:paraId="34B35125" w14:textId="77777777" w:rsidTr="0051151D">
        <w:trPr>
          <w:trHeight w:val="294"/>
        </w:trPr>
        <w:tc>
          <w:tcPr>
            <w:tcW w:w="3490" w:type="dxa"/>
            <w:tcBorders>
              <w:bottom w:val="single" w:sz="4" w:space="0" w:color="auto"/>
            </w:tcBorders>
            <w:vAlign w:val="bottom"/>
          </w:tcPr>
          <w:p w14:paraId="76FA533B" w14:textId="77777777"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Depreciation</w:t>
            </w:r>
          </w:p>
        </w:tc>
        <w:tc>
          <w:tcPr>
            <w:tcW w:w="1722" w:type="dxa"/>
            <w:tcBorders>
              <w:bottom w:val="single" w:sz="4" w:space="0" w:color="auto"/>
            </w:tcBorders>
            <w:vAlign w:val="bottom"/>
          </w:tcPr>
          <w:p w14:paraId="7C57EBFA"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225" w:type="dxa"/>
            <w:tcBorders>
              <w:bottom w:val="single" w:sz="4" w:space="0" w:color="auto"/>
            </w:tcBorders>
            <w:vAlign w:val="bottom"/>
          </w:tcPr>
          <w:p w14:paraId="5404C53D"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170" w:type="dxa"/>
            <w:tcBorders>
              <w:bottom w:val="single" w:sz="4" w:space="0" w:color="auto"/>
            </w:tcBorders>
            <w:vAlign w:val="bottom"/>
          </w:tcPr>
          <w:p w14:paraId="560F92E5"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031" w:type="dxa"/>
            <w:tcBorders>
              <w:bottom w:val="single" w:sz="4" w:space="0" w:color="auto"/>
            </w:tcBorders>
            <w:vAlign w:val="bottom"/>
          </w:tcPr>
          <w:p w14:paraId="2E833DF3"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c>
          <w:tcPr>
            <w:tcW w:w="1031" w:type="dxa"/>
            <w:tcBorders>
              <w:bottom w:val="single" w:sz="4" w:space="0" w:color="auto"/>
            </w:tcBorders>
            <w:vAlign w:val="bottom"/>
          </w:tcPr>
          <w:p w14:paraId="7BEC562F"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p>
        </w:tc>
      </w:tr>
      <w:tr w:rsidR="00CA3679" w:rsidRPr="00AD2E2A" w14:paraId="47351AF4" w14:textId="77777777" w:rsidTr="0051151D">
        <w:trPr>
          <w:trHeight w:val="294"/>
        </w:trPr>
        <w:tc>
          <w:tcPr>
            <w:tcW w:w="3490" w:type="dxa"/>
            <w:tcBorders>
              <w:top w:val="single" w:sz="4" w:space="0" w:color="auto"/>
            </w:tcBorders>
            <w:vAlign w:val="bottom"/>
          </w:tcPr>
          <w:p w14:paraId="06DD8A43" w14:textId="112817FB"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January 2021</w:t>
            </w:r>
          </w:p>
        </w:tc>
        <w:tc>
          <w:tcPr>
            <w:tcW w:w="1722" w:type="dxa"/>
            <w:tcBorders>
              <w:top w:val="single" w:sz="4" w:space="0" w:color="auto"/>
            </w:tcBorders>
            <w:vAlign w:val="bottom"/>
          </w:tcPr>
          <w:p w14:paraId="7C0DEF9F" w14:textId="4A2CC43C"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36,361</w:t>
            </w:r>
          </w:p>
        </w:tc>
        <w:tc>
          <w:tcPr>
            <w:tcW w:w="1225" w:type="dxa"/>
            <w:tcBorders>
              <w:top w:val="single" w:sz="4" w:space="0" w:color="auto"/>
            </w:tcBorders>
            <w:vAlign w:val="bottom"/>
          </w:tcPr>
          <w:p w14:paraId="3DAEAB4F" w14:textId="327119A6"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1,209,271</w:t>
            </w:r>
          </w:p>
        </w:tc>
        <w:tc>
          <w:tcPr>
            <w:tcW w:w="1170" w:type="dxa"/>
            <w:tcBorders>
              <w:top w:val="single" w:sz="4" w:space="0" w:color="auto"/>
            </w:tcBorders>
            <w:vAlign w:val="bottom"/>
          </w:tcPr>
          <w:p w14:paraId="70EEDBF9" w14:textId="37F1C5B4"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40,162</w:t>
            </w:r>
          </w:p>
        </w:tc>
        <w:tc>
          <w:tcPr>
            <w:tcW w:w="1031" w:type="dxa"/>
            <w:tcBorders>
              <w:top w:val="single" w:sz="4" w:space="0" w:color="auto"/>
            </w:tcBorders>
            <w:vAlign w:val="bottom"/>
          </w:tcPr>
          <w:p w14:paraId="1679DD57" w14:textId="513A6068"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121,695</w:t>
            </w:r>
          </w:p>
        </w:tc>
        <w:tc>
          <w:tcPr>
            <w:tcW w:w="1031" w:type="dxa"/>
            <w:tcBorders>
              <w:top w:val="single" w:sz="4" w:space="0" w:color="auto"/>
            </w:tcBorders>
            <w:vAlign w:val="bottom"/>
          </w:tcPr>
          <w:p w14:paraId="5C2D0C13" w14:textId="479163B3"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1,407,489</w:t>
            </w:r>
          </w:p>
        </w:tc>
      </w:tr>
      <w:tr w:rsidR="00CA3679" w:rsidRPr="00AD2E2A" w14:paraId="7ED660C4" w14:textId="77777777" w:rsidTr="0051151D">
        <w:trPr>
          <w:trHeight w:val="294"/>
        </w:trPr>
        <w:tc>
          <w:tcPr>
            <w:tcW w:w="3490" w:type="dxa"/>
            <w:vAlign w:val="bottom"/>
          </w:tcPr>
          <w:p w14:paraId="40A2E58F" w14:textId="46F24409"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Charge for the year</w:t>
            </w:r>
          </w:p>
        </w:tc>
        <w:tc>
          <w:tcPr>
            <w:tcW w:w="1722" w:type="dxa"/>
            <w:vAlign w:val="bottom"/>
          </w:tcPr>
          <w:p w14:paraId="444D635C" w14:textId="2FAAB5C7"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4,624</w:t>
            </w:r>
          </w:p>
        </w:tc>
        <w:tc>
          <w:tcPr>
            <w:tcW w:w="1225" w:type="dxa"/>
            <w:vAlign w:val="bottom"/>
          </w:tcPr>
          <w:p w14:paraId="67E9940A" w14:textId="430C4E69"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197,370</w:t>
            </w:r>
          </w:p>
        </w:tc>
        <w:tc>
          <w:tcPr>
            <w:tcW w:w="1170" w:type="dxa"/>
            <w:vAlign w:val="bottom"/>
          </w:tcPr>
          <w:p w14:paraId="06E138C0" w14:textId="4A28F80C"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6,693</w:t>
            </w:r>
          </w:p>
        </w:tc>
        <w:tc>
          <w:tcPr>
            <w:tcW w:w="1031" w:type="dxa"/>
            <w:vAlign w:val="bottom"/>
          </w:tcPr>
          <w:p w14:paraId="094ACD8F" w14:textId="20C0BF66"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40,565</w:t>
            </w:r>
          </w:p>
        </w:tc>
        <w:tc>
          <w:tcPr>
            <w:tcW w:w="1031" w:type="dxa"/>
            <w:vAlign w:val="bottom"/>
          </w:tcPr>
          <w:p w14:paraId="15BC9615" w14:textId="1D7B7A22"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249,252</w:t>
            </w:r>
          </w:p>
        </w:tc>
      </w:tr>
      <w:tr w:rsidR="00CA3679" w:rsidRPr="00AD2E2A" w14:paraId="7B4F2E3A" w14:textId="77777777" w:rsidTr="0051151D">
        <w:trPr>
          <w:trHeight w:val="294"/>
        </w:trPr>
        <w:tc>
          <w:tcPr>
            <w:tcW w:w="3490" w:type="dxa"/>
            <w:vAlign w:val="bottom"/>
          </w:tcPr>
          <w:p w14:paraId="2CA40A69" w14:textId="33E01D55"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2C302806" w14:textId="4015A060"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color w:val="000000" w:themeColor="text1"/>
                <w:sz w:val="15"/>
                <w:szCs w:val="15"/>
              </w:rPr>
            </w:pPr>
            <w:r w:rsidRPr="00F94E46">
              <w:rPr>
                <w:rFonts w:ascii="Arial" w:hAnsi="Arial" w:cs="Arial"/>
                <w:bCs/>
                <w:color w:val="000000" w:themeColor="text1"/>
                <w:sz w:val="15"/>
                <w:szCs w:val="15"/>
              </w:rPr>
              <w:t>-</w:t>
            </w:r>
          </w:p>
        </w:tc>
        <w:tc>
          <w:tcPr>
            <w:tcW w:w="1225" w:type="dxa"/>
            <w:vAlign w:val="bottom"/>
          </w:tcPr>
          <w:p w14:paraId="4E7C4BC4" w14:textId="18B65B85"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Cs/>
                <w:color w:val="000000" w:themeColor="text1"/>
                <w:sz w:val="15"/>
                <w:szCs w:val="15"/>
              </w:rPr>
              <w:t>(72,454)</w:t>
            </w:r>
          </w:p>
        </w:tc>
        <w:tc>
          <w:tcPr>
            <w:tcW w:w="1170" w:type="dxa"/>
            <w:vAlign w:val="bottom"/>
          </w:tcPr>
          <w:p w14:paraId="11737306" w14:textId="26E1AC39"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15107856" w14:textId="3A98D54F"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33E535D6" w14:textId="143BFFEF"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bCs/>
                <w:color w:val="000000" w:themeColor="text1"/>
                <w:sz w:val="15"/>
                <w:szCs w:val="15"/>
              </w:rPr>
              <w:t>(72,454)</w:t>
            </w:r>
          </w:p>
        </w:tc>
      </w:tr>
      <w:tr w:rsidR="00CA3679" w:rsidRPr="00AD2E2A" w14:paraId="375BD06A" w14:textId="77777777" w:rsidTr="0051151D">
        <w:trPr>
          <w:trHeight w:val="294"/>
        </w:trPr>
        <w:tc>
          <w:tcPr>
            <w:tcW w:w="3490" w:type="dxa"/>
            <w:vAlign w:val="bottom"/>
          </w:tcPr>
          <w:p w14:paraId="014B47CD" w14:textId="567EB984"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Exchange differences</w:t>
            </w:r>
          </w:p>
        </w:tc>
        <w:tc>
          <w:tcPr>
            <w:tcW w:w="1722" w:type="dxa"/>
            <w:vAlign w:val="bottom"/>
          </w:tcPr>
          <w:p w14:paraId="400E3C0B" w14:textId="2509282B"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225" w:type="dxa"/>
            <w:vAlign w:val="bottom"/>
          </w:tcPr>
          <w:p w14:paraId="7D225127" w14:textId="6B56CDD7"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(51,019)</w:t>
            </w:r>
          </w:p>
        </w:tc>
        <w:tc>
          <w:tcPr>
            <w:tcW w:w="1170" w:type="dxa"/>
            <w:vAlign w:val="bottom"/>
          </w:tcPr>
          <w:p w14:paraId="289044B3" w14:textId="7C23913C"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41A8407F" w14:textId="7B87ACCB"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6EBF2E30" w14:textId="1EFCEDA5"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(51,019)</w:t>
            </w:r>
          </w:p>
        </w:tc>
      </w:tr>
      <w:tr w:rsidR="00CA3679" w:rsidRPr="00AD2E2A" w14:paraId="4CABF04B" w14:textId="77777777" w:rsidTr="0051151D">
        <w:trPr>
          <w:trHeight w:val="294"/>
        </w:trPr>
        <w:tc>
          <w:tcPr>
            <w:tcW w:w="3490" w:type="dxa"/>
            <w:tcBorders>
              <w:top w:val="single" w:sz="4" w:space="0" w:color="auto"/>
              <w:bottom w:val="single" w:sz="4" w:space="0" w:color="auto"/>
            </w:tcBorders>
            <w:vAlign w:val="bottom"/>
          </w:tcPr>
          <w:p w14:paraId="5F6C5900" w14:textId="6BDC613A"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30 June 2021</w:t>
            </w:r>
          </w:p>
        </w:tc>
        <w:tc>
          <w:tcPr>
            <w:tcW w:w="1722" w:type="dxa"/>
            <w:tcBorders>
              <w:top w:val="single" w:sz="4" w:space="0" w:color="auto"/>
              <w:bottom w:val="single" w:sz="4" w:space="0" w:color="auto"/>
            </w:tcBorders>
            <w:vAlign w:val="bottom"/>
          </w:tcPr>
          <w:p w14:paraId="5A9F2D0A" w14:textId="008AD4A7"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40,985</w:t>
            </w:r>
          </w:p>
        </w:tc>
        <w:tc>
          <w:tcPr>
            <w:tcW w:w="1225" w:type="dxa"/>
            <w:tcBorders>
              <w:top w:val="single" w:sz="4" w:space="0" w:color="auto"/>
              <w:bottom w:val="single" w:sz="4" w:space="0" w:color="auto"/>
            </w:tcBorders>
            <w:vAlign w:val="bottom"/>
          </w:tcPr>
          <w:p w14:paraId="278FC2E2" w14:textId="690CB167"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1,283,168</w:t>
            </w:r>
          </w:p>
        </w:tc>
        <w:tc>
          <w:tcPr>
            <w:tcW w:w="1170" w:type="dxa"/>
            <w:tcBorders>
              <w:top w:val="single" w:sz="4" w:space="0" w:color="auto"/>
              <w:bottom w:val="single" w:sz="4" w:space="0" w:color="auto"/>
            </w:tcBorders>
            <w:vAlign w:val="bottom"/>
          </w:tcPr>
          <w:p w14:paraId="5134214E" w14:textId="26FEB91A"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46,855</w:t>
            </w:r>
          </w:p>
        </w:tc>
        <w:tc>
          <w:tcPr>
            <w:tcW w:w="1031" w:type="dxa"/>
            <w:tcBorders>
              <w:top w:val="single" w:sz="4" w:space="0" w:color="auto"/>
              <w:bottom w:val="single" w:sz="4" w:space="0" w:color="auto"/>
            </w:tcBorders>
            <w:vAlign w:val="bottom"/>
          </w:tcPr>
          <w:p w14:paraId="57EE98EF" w14:textId="150FE2FB"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162,260</w:t>
            </w:r>
          </w:p>
        </w:tc>
        <w:tc>
          <w:tcPr>
            <w:tcW w:w="1031" w:type="dxa"/>
            <w:tcBorders>
              <w:top w:val="single" w:sz="4" w:space="0" w:color="auto"/>
              <w:bottom w:val="single" w:sz="4" w:space="0" w:color="auto"/>
            </w:tcBorders>
            <w:vAlign w:val="bottom"/>
          </w:tcPr>
          <w:p w14:paraId="776DDC5E" w14:textId="1D836411"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1,533,268</w:t>
            </w:r>
          </w:p>
        </w:tc>
      </w:tr>
      <w:tr w:rsidR="00CA3679" w:rsidRPr="00AD2E2A" w14:paraId="296F895F" w14:textId="77777777" w:rsidTr="0051151D">
        <w:trPr>
          <w:trHeight w:val="294"/>
        </w:trPr>
        <w:tc>
          <w:tcPr>
            <w:tcW w:w="3490" w:type="dxa"/>
            <w:tcBorders>
              <w:top w:val="single" w:sz="4" w:space="0" w:color="auto"/>
            </w:tcBorders>
            <w:vAlign w:val="bottom"/>
          </w:tcPr>
          <w:p w14:paraId="7B2E47AE" w14:textId="54A2B272" w:rsidR="00CA3679" w:rsidRPr="00F94E46" w:rsidRDefault="00CA3679" w:rsidP="00CA3679">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July 2021</w:t>
            </w:r>
          </w:p>
        </w:tc>
        <w:tc>
          <w:tcPr>
            <w:tcW w:w="1722" w:type="dxa"/>
            <w:tcBorders>
              <w:top w:val="single" w:sz="4" w:space="0" w:color="auto"/>
            </w:tcBorders>
            <w:vAlign w:val="bottom"/>
          </w:tcPr>
          <w:p w14:paraId="3980E7A1" w14:textId="00A4AA31"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40,985</w:t>
            </w:r>
          </w:p>
        </w:tc>
        <w:tc>
          <w:tcPr>
            <w:tcW w:w="1225" w:type="dxa"/>
            <w:tcBorders>
              <w:top w:val="single" w:sz="4" w:space="0" w:color="auto"/>
            </w:tcBorders>
            <w:vAlign w:val="bottom"/>
          </w:tcPr>
          <w:p w14:paraId="2142EA6D" w14:textId="4821C70F"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1,283,168</w:t>
            </w:r>
          </w:p>
        </w:tc>
        <w:tc>
          <w:tcPr>
            <w:tcW w:w="1170" w:type="dxa"/>
            <w:tcBorders>
              <w:top w:val="single" w:sz="4" w:space="0" w:color="auto"/>
            </w:tcBorders>
            <w:vAlign w:val="bottom"/>
          </w:tcPr>
          <w:p w14:paraId="1F281065" w14:textId="52DE5933"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46,855</w:t>
            </w:r>
          </w:p>
        </w:tc>
        <w:tc>
          <w:tcPr>
            <w:tcW w:w="1031" w:type="dxa"/>
            <w:tcBorders>
              <w:top w:val="single" w:sz="4" w:space="0" w:color="auto"/>
            </w:tcBorders>
            <w:vAlign w:val="bottom"/>
          </w:tcPr>
          <w:p w14:paraId="5F09C064" w14:textId="3710DB29"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162,260</w:t>
            </w:r>
          </w:p>
        </w:tc>
        <w:tc>
          <w:tcPr>
            <w:tcW w:w="1031" w:type="dxa"/>
            <w:tcBorders>
              <w:top w:val="single" w:sz="4" w:space="0" w:color="auto"/>
            </w:tcBorders>
            <w:vAlign w:val="bottom"/>
          </w:tcPr>
          <w:p w14:paraId="1426A408" w14:textId="1CB4815F" w:rsidR="00CA3679" w:rsidRPr="00F94E46" w:rsidRDefault="00CA3679"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1,533,268</w:t>
            </w:r>
          </w:p>
        </w:tc>
      </w:tr>
      <w:tr w:rsidR="00ED5150" w:rsidRPr="00AD2E2A" w14:paraId="2E188E11" w14:textId="77777777" w:rsidTr="0051151D">
        <w:trPr>
          <w:trHeight w:val="294"/>
        </w:trPr>
        <w:tc>
          <w:tcPr>
            <w:tcW w:w="3490" w:type="dxa"/>
            <w:vAlign w:val="bottom"/>
          </w:tcPr>
          <w:p w14:paraId="36F5B969" w14:textId="5FD16825"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Charge for the year</w:t>
            </w:r>
          </w:p>
        </w:tc>
        <w:tc>
          <w:tcPr>
            <w:tcW w:w="1722" w:type="dxa"/>
            <w:vAlign w:val="bottom"/>
          </w:tcPr>
          <w:p w14:paraId="0BD6B7F5" w14:textId="53D3EC4E" w:rsidR="00DE1C4A" w:rsidRPr="00F94E46" w:rsidRDefault="00316AF8"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4,396</w:t>
            </w:r>
          </w:p>
        </w:tc>
        <w:tc>
          <w:tcPr>
            <w:tcW w:w="1225" w:type="dxa"/>
            <w:vAlign w:val="bottom"/>
          </w:tcPr>
          <w:p w14:paraId="475BD811" w14:textId="041D6187" w:rsidR="00DE1C4A" w:rsidRPr="00F94E46" w:rsidRDefault="00316AF8"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179,698</w:t>
            </w:r>
          </w:p>
        </w:tc>
        <w:tc>
          <w:tcPr>
            <w:tcW w:w="1170" w:type="dxa"/>
            <w:vAlign w:val="bottom"/>
          </w:tcPr>
          <w:p w14:paraId="297CE882" w14:textId="76332ED0"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7,085</w:t>
            </w:r>
          </w:p>
        </w:tc>
        <w:tc>
          <w:tcPr>
            <w:tcW w:w="1031" w:type="dxa"/>
            <w:vAlign w:val="bottom"/>
          </w:tcPr>
          <w:p w14:paraId="37F07F05" w14:textId="2497D94D"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20,282</w:t>
            </w:r>
          </w:p>
        </w:tc>
        <w:tc>
          <w:tcPr>
            <w:tcW w:w="1031" w:type="dxa"/>
            <w:vAlign w:val="bottom"/>
          </w:tcPr>
          <w:p w14:paraId="2045BAB6" w14:textId="70781CA3"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211,461</w:t>
            </w:r>
          </w:p>
        </w:tc>
      </w:tr>
      <w:tr w:rsidR="00ED5150" w:rsidRPr="00AD2E2A" w14:paraId="16A09206" w14:textId="77777777" w:rsidTr="0051151D">
        <w:trPr>
          <w:trHeight w:val="294"/>
        </w:trPr>
        <w:tc>
          <w:tcPr>
            <w:tcW w:w="3490" w:type="dxa"/>
            <w:vAlign w:val="bottom"/>
          </w:tcPr>
          <w:p w14:paraId="7F0EF39F" w14:textId="2BC9FB54"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7BA5059B" w14:textId="7EBB94B6"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225" w:type="dxa"/>
            <w:vAlign w:val="bottom"/>
          </w:tcPr>
          <w:p w14:paraId="04D50C6A" w14:textId="4AEF85DC" w:rsidR="00DE1C4A" w:rsidRPr="00F94E46" w:rsidRDefault="00316AF8"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170" w:type="dxa"/>
            <w:vAlign w:val="bottom"/>
          </w:tcPr>
          <w:p w14:paraId="7C49F0C8" w14:textId="5CA11DD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p>
        </w:tc>
        <w:tc>
          <w:tcPr>
            <w:tcW w:w="1031" w:type="dxa"/>
            <w:vAlign w:val="bottom"/>
          </w:tcPr>
          <w:p w14:paraId="3BA7244A" w14:textId="61EF3172"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(182,542)</w:t>
            </w:r>
          </w:p>
        </w:tc>
        <w:tc>
          <w:tcPr>
            <w:tcW w:w="1031" w:type="dxa"/>
            <w:vAlign w:val="bottom"/>
          </w:tcPr>
          <w:p w14:paraId="1627F9A3" w14:textId="6427A926"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(182,542)</w:t>
            </w:r>
          </w:p>
        </w:tc>
      </w:tr>
      <w:tr w:rsidR="00ED5150" w:rsidRPr="00AD2E2A" w14:paraId="16CDFAB2" w14:textId="77777777" w:rsidTr="0051151D">
        <w:trPr>
          <w:trHeight w:val="294"/>
        </w:trPr>
        <w:tc>
          <w:tcPr>
            <w:tcW w:w="3490" w:type="dxa"/>
            <w:vAlign w:val="bottom"/>
          </w:tcPr>
          <w:p w14:paraId="290E9F50" w14:textId="2A7C9D6E"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color w:val="000000" w:themeColor="text1"/>
                <w:sz w:val="15"/>
                <w:szCs w:val="15"/>
              </w:rPr>
              <w:t>Exchange differences</w:t>
            </w:r>
          </w:p>
        </w:tc>
        <w:tc>
          <w:tcPr>
            <w:tcW w:w="1722" w:type="dxa"/>
            <w:vAlign w:val="bottom"/>
          </w:tcPr>
          <w:p w14:paraId="31027D35" w14:textId="09B04268"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color w:val="000000" w:themeColor="text1"/>
                <w:sz w:val="15"/>
                <w:szCs w:val="15"/>
              </w:rPr>
              <w:t>-</w:t>
            </w:r>
          </w:p>
        </w:tc>
        <w:tc>
          <w:tcPr>
            <w:tcW w:w="1225" w:type="dxa"/>
            <w:vAlign w:val="bottom"/>
          </w:tcPr>
          <w:p w14:paraId="478A161F" w14:textId="60910938" w:rsidR="00DE1C4A" w:rsidRPr="00F94E46" w:rsidRDefault="00316AF8"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(30</w:t>
            </w:r>
            <w:r w:rsidR="002B5377" w:rsidRPr="00F94E46">
              <w:rPr>
                <w:rFonts w:ascii="Arial" w:hAnsi="Arial" w:cs="Arial"/>
                <w:bCs/>
                <w:color w:val="000000" w:themeColor="text1"/>
                <w:sz w:val="15"/>
                <w:szCs w:val="15"/>
              </w:rPr>
              <w:t>,856)</w:t>
            </w:r>
          </w:p>
        </w:tc>
        <w:tc>
          <w:tcPr>
            <w:tcW w:w="1170" w:type="dxa"/>
            <w:vAlign w:val="bottom"/>
          </w:tcPr>
          <w:p w14:paraId="177F8220" w14:textId="21009046"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11AFB775" w14:textId="2DAB80C2"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1D1DAEF7" w14:textId="371B9132"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Cs/>
                <w:color w:val="000000" w:themeColor="text1"/>
                <w:sz w:val="15"/>
                <w:szCs w:val="15"/>
              </w:rPr>
              <w:t>(</w:t>
            </w:r>
            <w:r w:rsidR="002B5377" w:rsidRPr="00F94E46">
              <w:rPr>
                <w:rFonts w:ascii="Arial" w:hAnsi="Arial" w:cs="Arial"/>
                <w:bCs/>
                <w:color w:val="000000" w:themeColor="text1"/>
                <w:sz w:val="15"/>
                <w:szCs w:val="15"/>
              </w:rPr>
              <w:t>30,856</w:t>
            </w:r>
            <w:r w:rsidRPr="00F94E46">
              <w:rPr>
                <w:rFonts w:ascii="Arial" w:hAnsi="Arial" w:cs="Arial"/>
                <w:bCs/>
                <w:color w:val="000000" w:themeColor="text1"/>
                <w:sz w:val="15"/>
                <w:szCs w:val="15"/>
              </w:rPr>
              <w:t>)</w:t>
            </w:r>
          </w:p>
        </w:tc>
      </w:tr>
      <w:tr w:rsidR="00ED5150" w:rsidRPr="00AD2E2A" w14:paraId="6D1203B8" w14:textId="77777777" w:rsidTr="0051151D">
        <w:trPr>
          <w:trHeight w:val="294"/>
        </w:trPr>
        <w:tc>
          <w:tcPr>
            <w:tcW w:w="3490" w:type="dxa"/>
            <w:tcBorders>
              <w:top w:val="single" w:sz="4" w:space="0" w:color="auto"/>
            </w:tcBorders>
            <w:vAlign w:val="bottom"/>
          </w:tcPr>
          <w:p w14:paraId="5857386A" w14:textId="42C89955" w:rsidR="00DE1C4A" w:rsidRPr="00F94E46" w:rsidRDefault="00CA3679"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31 December 2021</w:t>
            </w:r>
          </w:p>
        </w:tc>
        <w:tc>
          <w:tcPr>
            <w:tcW w:w="1722" w:type="dxa"/>
            <w:tcBorders>
              <w:top w:val="single" w:sz="4" w:space="0" w:color="auto"/>
            </w:tcBorders>
            <w:vAlign w:val="bottom"/>
          </w:tcPr>
          <w:p w14:paraId="251C2668" w14:textId="24AF1970"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45,381</w:t>
            </w:r>
          </w:p>
        </w:tc>
        <w:tc>
          <w:tcPr>
            <w:tcW w:w="1225" w:type="dxa"/>
            <w:tcBorders>
              <w:top w:val="single" w:sz="4" w:space="0" w:color="auto"/>
            </w:tcBorders>
            <w:vAlign w:val="bottom"/>
          </w:tcPr>
          <w:p w14:paraId="43FA2CD6" w14:textId="6C6FA312"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1,432,010</w:t>
            </w:r>
          </w:p>
        </w:tc>
        <w:tc>
          <w:tcPr>
            <w:tcW w:w="1170" w:type="dxa"/>
            <w:tcBorders>
              <w:top w:val="single" w:sz="4" w:space="0" w:color="auto"/>
            </w:tcBorders>
            <w:vAlign w:val="bottom"/>
          </w:tcPr>
          <w:p w14:paraId="6F96EB66" w14:textId="11CFCB06"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53,940</w:t>
            </w:r>
          </w:p>
        </w:tc>
        <w:tc>
          <w:tcPr>
            <w:tcW w:w="1031" w:type="dxa"/>
            <w:tcBorders>
              <w:top w:val="single" w:sz="4" w:space="0" w:color="auto"/>
            </w:tcBorders>
            <w:vAlign w:val="bottom"/>
          </w:tcPr>
          <w:p w14:paraId="0BD1AA35" w14:textId="6BAC64CB" w:rsidR="00DE1C4A"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4" w:space="0" w:color="auto"/>
            </w:tcBorders>
            <w:vAlign w:val="bottom"/>
          </w:tcPr>
          <w:p w14:paraId="057B7A5D" w14:textId="4FA3A1C0"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w:t>
            </w:r>
            <w:r w:rsidR="002B5377" w:rsidRPr="00F94E46">
              <w:rPr>
                <w:rFonts w:ascii="Arial" w:hAnsi="Arial" w:cs="Arial"/>
                <w:b/>
                <w:color w:val="000000" w:themeColor="text1"/>
                <w:sz w:val="15"/>
                <w:szCs w:val="15"/>
              </w:rPr>
              <w:t>,531,331</w:t>
            </w:r>
          </w:p>
        </w:tc>
      </w:tr>
      <w:tr w:rsidR="00520EBC" w:rsidRPr="00AD2E2A" w14:paraId="665CCE89" w14:textId="77777777" w:rsidTr="0051151D">
        <w:trPr>
          <w:trHeight w:val="294"/>
        </w:trPr>
        <w:tc>
          <w:tcPr>
            <w:tcW w:w="3490" w:type="dxa"/>
            <w:tcBorders>
              <w:top w:val="single" w:sz="4" w:space="0" w:color="auto"/>
            </w:tcBorders>
            <w:vAlign w:val="bottom"/>
          </w:tcPr>
          <w:p w14:paraId="09507345" w14:textId="556AF931" w:rsidR="00520EBC" w:rsidRPr="00F94E46" w:rsidRDefault="00520EBC" w:rsidP="00520EBC">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1 January 2022</w:t>
            </w:r>
          </w:p>
        </w:tc>
        <w:tc>
          <w:tcPr>
            <w:tcW w:w="1722" w:type="dxa"/>
            <w:tcBorders>
              <w:top w:val="single" w:sz="4" w:space="0" w:color="auto"/>
            </w:tcBorders>
            <w:vAlign w:val="bottom"/>
          </w:tcPr>
          <w:p w14:paraId="6E62C913" w14:textId="53813311" w:rsidR="00520EBC"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45,381</w:t>
            </w:r>
          </w:p>
        </w:tc>
        <w:tc>
          <w:tcPr>
            <w:tcW w:w="1225" w:type="dxa"/>
            <w:tcBorders>
              <w:top w:val="single" w:sz="4" w:space="0" w:color="auto"/>
            </w:tcBorders>
            <w:vAlign w:val="bottom"/>
          </w:tcPr>
          <w:p w14:paraId="5EC8C1C8" w14:textId="1E90F7BB" w:rsidR="00520EBC"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1,432,010</w:t>
            </w:r>
          </w:p>
        </w:tc>
        <w:tc>
          <w:tcPr>
            <w:tcW w:w="1170" w:type="dxa"/>
            <w:tcBorders>
              <w:top w:val="single" w:sz="4" w:space="0" w:color="auto"/>
            </w:tcBorders>
            <w:vAlign w:val="bottom"/>
          </w:tcPr>
          <w:p w14:paraId="56BEF471" w14:textId="3A7C91A2" w:rsidR="00520EBC"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53,940</w:t>
            </w:r>
          </w:p>
        </w:tc>
        <w:tc>
          <w:tcPr>
            <w:tcW w:w="1031" w:type="dxa"/>
            <w:tcBorders>
              <w:top w:val="single" w:sz="4" w:space="0" w:color="auto"/>
            </w:tcBorders>
            <w:vAlign w:val="bottom"/>
          </w:tcPr>
          <w:p w14:paraId="76B46445" w14:textId="57EBBF61" w:rsidR="00520EBC"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4" w:space="0" w:color="auto"/>
            </w:tcBorders>
            <w:vAlign w:val="bottom"/>
          </w:tcPr>
          <w:p w14:paraId="0177A760" w14:textId="0A19C9AD" w:rsidR="00520EBC" w:rsidRPr="00F94E46" w:rsidRDefault="00520EBC"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1,531,331</w:t>
            </w:r>
          </w:p>
        </w:tc>
      </w:tr>
      <w:tr w:rsidR="00ED5150" w:rsidRPr="00AD2E2A" w14:paraId="561BAEF0" w14:textId="77777777" w:rsidTr="0051151D">
        <w:trPr>
          <w:trHeight w:val="294"/>
        </w:trPr>
        <w:tc>
          <w:tcPr>
            <w:tcW w:w="3490" w:type="dxa"/>
            <w:vAlign w:val="bottom"/>
          </w:tcPr>
          <w:p w14:paraId="116C549C" w14:textId="2297BF79"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Charge for the year</w:t>
            </w:r>
          </w:p>
        </w:tc>
        <w:tc>
          <w:tcPr>
            <w:tcW w:w="1722" w:type="dxa"/>
            <w:vAlign w:val="bottom"/>
          </w:tcPr>
          <w:p w14:paraId="03F6A6C3" w14:textId="20AF7124"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4,147</w:t>
            </w:r>
          </w:p>
        </w:tc>
        <w:tc>
          <w:tcPr>
            <w:tcW w:w="1225" w:type="dxa"/>
            <w:vAlign w:val="bottom"/>
          </w:tcPr>
          <w:p w14:paraId="28684242" w14:textId="097D65A2" w:rsidR="00DE1C4A"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173,809</w:t>
            </w:r>
          </w:p>
        </w:tc>
        <w:tc>
          <w:tcPr>
            <w:tcW w:w="1170" w:type="dxa"/>
            <w:vAlign w:val="bottom"/>
          </w:tcPr>
          <w:p w14:paraId="42C2B964" w14:textId="6B3859F3"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6,007</w:t>
            </w:r>
          </w:p>
        </w:tc>
        <w:tc>
          <w:tcPr>
            <w:tcW w:w="1031" w:type="dxa"/>
            <w:vAlign w:val="bottom"/>
          </w:tcPr>
          <w:p w14:paraId="434EFBE2" w14:textId="1A5AB8BC" w:rsidR="00DE1C4A" w:rsidRPr="00F94E46" w:rsidRDefault="006E262B"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4821DCAD" w14:textId="2AB0AE1A" w:rsidR="00DE1C4A"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183,963</w:t>
            </w:r>
          </w:p>
        </w:tc>
      </w:tr>
      <w:tr w:rsidR="00ED5150" w:rsidRPr="00AD2E2A" w14:paraId="5BEE16ED" w14:textId="77777777" w:rsidTr="0051151D">
        <w:trPr>
          <w:trHeight w:val="294"/>
        </w:trPr>
        <w:tc>
          <w:tcPr>
            <w:tcW w:w="3490" w:type="dxa"/>
            <w:vAlign w:val="bottom"/>
          </w:tcPr>
          <w:p w14:paraId="7F132212" w14:textId="650DA048"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Disposals</w:t>
            </w:r>
          </w:p>
        </w:tc>
        <w:tc>
          <w:tcPr>
            <w:tcW w:w="1722" w:type="dxa"/>
            <w:vAlign w:val="bottom"/>
          </w:tcPr>
          <w:p w14:paraId="1C0F1A88" w14:textId="56CAC771"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vAlign w:val="bottom"/>
          </w:tcPr>
          <w:p w14:paraId="0A798EFA" w14:textId="28B972BD" w:rsidR="00DE1C4A" w:rsidRPr="00F94E46" w:rsidRDefault="00A40680"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r w:rsidR="00DE1C4A" w:rsidRPr="00F94E46">
              <w:rPr>
                <w:rFonts w:ascii="Arial" w:hAnsi="Arial" w:cs="Arial"/>
                <w:color w:val="000000" w:themeColor="text1"/>
                <w:sz w:val="15"/>
                <w:szCs w:val="15"/>
              </w:rPr>
              <w:t>21,574</w:t>
            </w:r>
            <w:r w:rsidRPr="00F94E46">
              <w:rPr>
                <w:rFonts w:ascii="Arial" w:hAnsi="Arial" w:cs="Arial"/>
                <w:color w:val="000000" w:themeColor="text1"/>
                <w:sz w:val="15"/>
                <w:szCs w:val="15"/>
              </w:rPr>
              <w:t>)</w:t>
            </w:r>
          </w:p>
        </w:tc>
        <w:tc>
          <w:tcPr>
            <w:tcW w:w="1170" w:type="dxa"/>
            <w:vAlign w:val="bottom"/>
          </w:tcPr>
          <w:p w14:paraId="746ECFCE" w14:textId="34A3BA0F"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5A26FA82" w14:textId="0825B0E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vAlign w:val="bottom"/>
          </w:tcPr>
          <w:p w14:paraId="246543FD" w14:textId="09B372DE"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(21,574)</w:t>
            </w:r>
          </w:p>
        </w:tc>
      </w:tr>
      <w:tr w:rsidR="008E7296" w:rsidRPr="00AD2E2A" w14:paraId="596F661C" w14:textId="77777777" w:rsidTr="0051151D">
        <w:trPr>
          <w:trHeight w:val="294"/>
        </w:trPr>
        <w:tc>
          <w:tcPr>
            <w:tcW w:w="3490" w:type="dxa"/>
            <w:tcBorders>
              <w:bottom w:val="single" w:sz="4" w:space="0" w:color="auto"/>
            </w:tcBorders>
            <w:vAlign w:val="bottom"/>
          </w:tcPr>
          <w:p w14:paraId="544F9B3D" w14:textId="0477ACDB" w:rsidR="008E7296" w:rsidRPr="00F94E46" w:rsidRDefault="008E7296"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color w:val="000000" w:themeColor="text1"/>
                <w:sz w:val="15"/>
                <w:szCs w:val="15"/>
              </w:rPr>
            </w:pPr>
            <w:r w:rsidRPr="00F94E46">
              <w:rPr>
                <w:rFonts w:ascii="Arial" w:hAnsi="Arial" w:cs="Arial"/>
                <w:color w:val="000000" w:themeColor="text1"/>
                <w:sz w:val="15"/>
                <w:szCs w:val="15"/>
              </w:rPr>
              <w:t>Exchange differences</w:t>
            </w:r>
          </w:p>
        </w:tc>
        <w:tc>
          <w:tcPr>
            <w:tcW w:w="1722" w:type="dxa"/>
            <w:tcBorders>
              <w:bottom w:val="single" w:sz="4" w:space="0" w:color="auto"/>
            </w:tcBorders>
            <w:vAlign w:val="bottom"/>
          </w:tcPr>
          <w:p w14:paraId="0D035E89" w14:textId="3D03EE62" w:rsidR="008E7296" w:rsidRPr="00F94E46" w:rsidRDefault="00A40680"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225" w:type="dxa"/>
            <w:tcBorders>
              <w:bottom w:val="single" w:sz="4" w:space="0" w:color="auto"/>
            </w:tcBorders>
            <w:vAlign w:val="bottom"/>
          </w:tcPr>
          <w:p w14:paraId="554E6C69" w14:textId="5713E267" w:rsidR="008E7296"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34,395</w:t>
            </w:r>
          </w:p>
        </w:tc>
        <w:tc>
          <w:tcPr>
            <w:tcW w:w="1170" w:type="dxa"/>
            <w:tcBorders>
              <w:bottom w:val="single" w:sz="4" w:space="0" w:color="auto"/>
            </w:tcBorders>
            <w:vAlign w:val="bottom"/>
          </w:tcPr>
          <w:p w14:paraId="3CA1CC4A" w14:textId="6D73911A" w:rsidR="008E7296"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w:t>
            </w:r>
          </w:p>
        </w:tc>
        <w:tc>
          <w:tcPr>
            <w:tcW w:w="1031" w:type="dxa"/>
            <w:tcBorders>
              <w:bottom w:val="single" w:sz="4" w:space="0" w:color="auto"/>
            </w:tcBorders>
            <w:vAlign w:val="bottom"/>
          </w:tcPr>
          <w:p w14:paraId="26270C0D" w14:textId="248D72F4" w:rsidR="008E7296" w:rsidRPr="00F94E46" w:rsidRDefault="00A40680"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sidRPr="00F94E46">
              <w:rPr>
                <w:rFonts w:ascii="Arial" w:hAnsi="Arial" w:cs="Arial"/>
                <w:color w:val="000000" w:themeColor="text1"/>
                <w:sz w:val="15"/>
                <w:szCs w:val="15"/>
              </w:rPr>
              <w:t>-</w:t>
            </w:r>
          </w:p>
        </w:tc>
        <w:tc>
          <w:tcPr>
            <w:tcW w:w="1031" w:type="dxa"/>
            <w:tcBorders>
              <w:bottom w:val="single" w:sz="4" w:space="0" w:color="auto"/>
            </w:tcBorders>
            <w:vAlign w:val="bottom"/>
          </w:tcPr>
          <w:p w14:paraId="4306080B" w14:textId="30E163C8" w:rsidR="008E7296"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color w:val="000000" w:themeColor="text1"/>
                <w:sz w:val="15"/>
                <w:szCs w:val="15"/>
              </w:rPr>
            </w:pPr>
            <w:r>
              <w:rPr>
                <w:rFonts w:ascii="Arial" w:hAnsi="Arial" w:cs="Arial"/>
                <w:color w:val="000000" w:themeColor="text1"/>
                <w:sz w:val="15"/>
                <w:szCs w:val="15"/>
              </w:rPr>
              <w:t>34,395</w:t>
            </w:r>
          </w:p>
        </w:tc>
      </w:tr>
      <w:tr w:rsidR="00ED5150" w:rsidRPr="00AD2E2A" w14:paraId="5E063C73" w14:textId="77777777" w:rsidTr="0051151D">
        <w:trPr>
          <w:trHeight w:val="294"/>
        </w:trPr>
        <w:tc>
          <w:tcPr>
            <w:tcW w:w="3490" w:type="dxa"/>
            <w:tcBorders>
              <w:top w:val="single" w:sz="4" w:space="0" w:color="auto"/>
              <w:bottom w:val="single" w:sz="4" w:space="0" w:color="auto"/>
            </w:tcBorders>
            <w:vAlign w:val="bottom"/>
          </w:tcPr>
          <w:p w14:paraId="5799CF8F" w14:textId="7C3340CC"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color w:val="000000" w:themeColor="text1"/>
                <w:sz w:val="15"/>
                <w:szCs w:val="15"/>
              </w:rPr>
              <w:t xml:space="preserve">As </w:t>
            </w:r>
            <w:proofErr w:type="gramStart"/>
            <w:r w:rsidRPr="00F94E46">
              <w:rPr>
                <w:rFonts w:ascii="Arial" w:hAnsi="Arial" w:cs="Arial"/>
                <w:b/>
                <w:color w:val="000000" w:themeColor="text1"/>
                <w:sz w:val="15"/>
                <w:szCs w:val="15"/>
              </w:rPr>
              <w:t>at</w:t>
            </w:r>
            <w:proofErr w:type="gramEnd"/>
            <w:r w:rsidRPr="00F94E46">
              <w:rPr>
                <w:rFonts w:ascii="Arial" w:hAnsi="Arial" w:cs="Arial"/>
                <w:b/>
                <w:color w:val="000000" w:themeColor="text1"/>
                <w:sz w:val="15"/>
                <w:szCs w:val="15"/>
              </w:rPr>
              <w:t xml:space="preserve"> </w:t>
            </w:r>
            <w:r w:rsidRPr="00F94E46">
              <w:rPr>
                <w:rFonts w:ascii="Arial" w:hAnsi="Arial" w:cs="Arial"/>
                <w:b/>
                <w:bCs/>
                <w:color w:val="000000" w:themeColor="text1"/>
                <w:sz w:val="15"/>
                <w:szCs w:val="15"/>
              </w:rPr>
              <w:t>30 June 2022</w:t>
            </w:r>
          </w:p>
        </w:tc>
        <w:tc>
          <w:tcPr>
            <w:tcW w:w="1722" w:type="dxa"/>
            <w:tcBorders>
              <w:top w:val="single" w:sz="4" w:space="0" w:color="auto"/>
              <w:bottom w:val="single" w:sz="4" w:space="0" w:color="auto"/>
            </w:tcBorders>
            <w:vAlign w:val="bottom"/>
          </w:tcPr>
          <w:p w14:paraId="42BC880D" w14:textId="29A2ACC9"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49,528</w:t>
            </w:r>
          </w:p>
        </w:tc>
        <w:tc>
          <w:tcPr>
            <w:tcW w:w="1225" w:type="dxa"/>
            <w:tcBorders>
              <w:top w:val="single" w:sz="4" w:space="0" w:color="auto"/>
              <w:bottom w:val="single" w:sz="4" w:space="0" w:color="auto"/>
            </w:tcBorders>
            <w:vAlign w:val="bottom"/>
          </w:tcPr>
          <w:p w14:paraId="55BC322A" w14:textId="260E94B4"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1,618,640</w:t>
            </w:r>
          </w:p>
        </w:tc>
        <w:tc>
          <w:tcPr>
            <w:tcW w:w="1170" w:type="dxa"/>
            <w:tcBorders>
              <w:top w:val="single" w:sz="4" w:space="0" w:color="auto"/>
              <w:bottom w:val="single" w:sz="4" w:space="0" w:color="auto"/>
            </w:tcBorders>
            <w:vAlign w:val="bottom"/>
          </w:tcPr>
          <w:p w14:paraId="2FDD4E20" w14:textId="61646F65" w:rsidR="00DE1C4A" w:rsidRPr="00F94E46" w:rsidRDefault="00F94E46"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Pr>
                <w:rFonts w:ascii="Arial" w:hAnsi="Arial" w:cs="Arial"/>
                <w:b/>
                <w:color w:val="000000" w:themeColor="text1"/>
                <w:sz w:val="15"/>
                <w:szCs w:val="15"/>
              </w:rPr>
              <w:t>59,947</w:t>
            </w:r>
          </w:p>
        </w:tc>
        <w:tc>
          <w:tcPr>
            <w:tcW w:w="1031" w:type="dxa"/>
            <w:tcBorders>
              <w:top w:val="single" w:sz="4" w:space="0" w:color="auto"/>
              <w:bottom w:val="single" w:sz="4" w:space="0" w:color="auto"/>
            </w:tcBorders>
            <w:vAlign w:val="bottom"/>
          </w:tcPr>
          <w:p w14:paraId="580AE56F" w14:textId="65125D3E" w:rsidR="00DE1C4A" w:rsidRPr="00F94E46" w:rsidRDefault="006E262B"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r w:rsidRPr="00F94E46">
              <w:rPr>
                <w:rFonts w:ascii="Arial" w:hAnsi="Arial" w:cs="Arial"/>
                <w:b/>
                <w:bCs/>
                <w:color w:val="000000" w:themeColor="text1"/>
                <w:sz w:val="15"/>
                <w:szCs w:val="15"/>
              </w:rPr>
              <w:t>-</w:t>
            </w:r>
          </w:p>
        </w:tc>
        <w:tc>
          <w:tcPr>
            <w:tcW w:w="1031" w:type="dxa"/>
            <w:tcBorders>
              <w:top w:val="single" w:sz="4" w:space="0" w:color="auto"/>
              <w:bottom w:val="single" w:sz="4" w:space="0" w:color="auto"/>
            </w:tcBorders>
            <w:vAlign w:val="bottom"/>
          </w:tcPr>
          <w:p w14:paraId="3510BBED" w14:textId="08BA18A6" w:rsidR="00DE1C4A" w:rsidRPr="00F94E46" w:rsidRDefault="00A40680"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1,72</w:t>
            </w:r>
            <w:r w:rsidR="00F94E46">
              <w:rPr>
                <w:rFonts w:ascii="Arial" w:hAnsi="Arial" w:cs="Arial"/>
                <w:b/>
                <w:color w:val="000000" w:themeColor="text1"/>
                <w:sz w:val="15"/>
                <w:szCs w:val="15"/>
              </w:rPr>
              <w:t>8,115</w:t>
            </w:r>
          </w:p>
        </w:tc>
      </w:tr>
      <w:tr w:rsidR="00DE1C4A" w:rsidRPr="00AD2E2A" w14:paraId="3A5F405B" w14:textId="77777777" w:rsidTr="0051151D">
        <w:trPr>
          <w:trHeight w:val="294"/>
        </w:trPr>
        <w:tc>
          <w:tcPr>
            <w:tcW w:w="3490" w:type="dxa"/>
            <w:tcBorders>
              <w:top w:val="single" w:sz="4" w:space="0" w:color="auto"/>
            </w:tcBorders>
            <w:vAlign w:val="bottom"/>
          </w:tcPr>
          <w:p w14:paraId="180EC287" w14:textId="77777777"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bCs/>
                <w:color w:val="000000" w:themeColor="text1"/>
                <w:sz w:val="15"/>
                <w:szCs w:val="15"/>
              </w:rPr>
            </w:pPr>
          </w:p>
        </w:tc>
        <w:tc>
          <w:tcPr>
            <w:tcW w:w="1722" w:type="dxa"/>
            <w:tcBorders>
              <w:top w:val="single" w:sz="4" w:space="0" w:color="auto"/>
            </w:tcBorders>
            <w:vAlign w:val="bottom"/>
          </w:tcPr>
          <w:p w14:paraId="094979C2"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p>
        </w:tc>
        <w:tc>
          <w:tcPr>
            <w:tcW w:w="1225" w:type="dxa"/>
            <w:tcBorders>
              <w:top w:val="single" w:sz="4" w:space="0" w:color="auto"/>
            </w:tcBorders>
            <w:vAlign w:val="bottom"/>
          </w:tcPr>
          <w:p w14:paraId="62D0AA3E"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p>
        </w:tc>
        <w:tc>
          <w:tcPr>
            <w:tcW w:w="1170" w:type="dxa"/>
            <w:tcBorders>
              <w:top w:val="single" w:sz="4" w:space="0" w:color="auto"/>
            </w:tcBorders>
            <w:vAlign w:val="bottom"/>
          </w:tcPr>
          <w:p w14:paraId="7A1FF126"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p>
        </w:tc>
        <w:tc>
          <w:tcPr>
            <w:tcW w:w="1031" w:type="dxa"/>
            <w:tcBorders>
              <w:top w:val="single" w:sz="4" w:space="0" w:color="auto"/>
            </w:tcBorders>
            <w:vAlign w:val="bottom"/>
          </w:tcPr>
          <w:p w14:paraId="36733CD6"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p>
        </w:tc>
        <w:tc>
          <w:tcPr>
            <w:tcW w:w="1031" w:type="dxa"/>
            <w:tcBorders>
              <w:top w:val="single" w:sz="4" w:space="0" w:color="auto"/>
            </w:tcBorders>
            <w:vAlign w:val="bottom"/>
          </w:tcPr>
          <w:p w14:paraId="7DF1A54C" w14:textId="77777777" w:rsidR="00DE1C4A" w:rsidRPr="00F94E46" w:rsidRDefault="00DE1C4A"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p>
        </w:tc>
      </w:tr>
      <w:tr w:rsidR="002B5377" w:rsidRPr="00AD2E2A" w14:paraId="57005BE6" w14:textId="77777777" w:rsidTr="0051151D">
        <w:trPr>
          <w:trHeight w:val="294"/>
        </w:trPr>
        <w:tc>
          <w:tcPr>
            <w:tcW w:w="3490" w:type="dxa"/>
            <w:tcBorders>
              <w:bottom w:val="single" w:sz="4" w:space="0" w:color="auto"/>
            </w:tcBorders>
            <w:vAlign w:val="bottom"/>
          </w:tcPr>
          <w:p w14:paraId="304A0150" w14:textId="66505E5C" w:rsidR="002B5377" w:rsidRPr="00F94E46" w:rsidRDefault="002B5377" w:rsidP="002B5377">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bCs/>
                <w:color w:val="000000" w:themeColor="text1"/>
                <w:sz w:val="15"/>
                <w:szCs w:val="15"/>
              </w:rPr>
              <w:t xml:space="preserve">Net book value as </w:t>
            </w:r>
            <w:proofErr w:type="gramStart"/>
            <w:r w:rsidRPr="00F94E46">
              <w:rPr>
                <w:rFonts w:ascii="Arial" w:hAnsi="Arial" w:cs="Arial"/>
                <w:b/>
                <w:bCs/>
                <w:color w:val="000000" w:themeColor="text1"/>
                <w:sz w:val="15"/>
                <w:szCs w:val="15"/>
              </w:rPr>
              <w:t>at</w:t>
            </w:r>
            <w:proofErr w:type="gramEnd"/>
            <w:r w:rsidRPr="00F94E46">
              <w:rPr>
                <w:rFonts w:ascii="Arial" w:hAnsi="Arial" w:cs="Arial"/>
                <w:b/>
                <w:bCs/>
                <w:color w:val="000000" w:themeColor="text1"/>
                <w:sz w:val="15"/>
                <w:szCs w:val="15"/>
              </w:rPr>
              <w:t xml:space="preserve"> 30 June 2021</w:t>
            </w:r>
          </w:p>
        </w:tc>
        <w:tc>
          <w:tcPr>
            <w:tcW w:w="1722" w:type="dxa"/>
            <w:tcBorders>
              <w:bottom w:val="single" w:sz="4" w:space="0" w:color="auto"/>
            </w:tcBorders>
            <w:vAlign w:val="bottom"/>
          </w:tcPr>
          <w:p w14:paraId="2221255E" w14:textId="3440E942" w:rsidR="002B5377"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6,357</w:t>
            </w:r>
          </w:p>
        </w:tc>
        <w:tc>
          <w:tcPr>
            <w:tcW w:w="1225" w:type="dxa"/>
            <w:tcBorders>
              <w:bottom w:val="single" w:sz="4" w:space="0" w:color="auto"/>
            </w:tcBorders>
            <w:vAlign w:val="bottom"/>
          </w:tcPr>
          <w:p w14:paraId="6CA34FAD" w14:textId="394149CA" w:rsidR="002B5377"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1,985,925</w:t>
            </w:r>
          </w:p>
        </w:tc>
        <w:tc>
          <w:tcPr>
            <w:tcW w:w="1170" w:type="dxa"/>
            <w:tcBorders>
              <w:bottom w:val="single" w:sz="4" w:space="0" w:color="auto"/>
            </w:tcBorders>
            <w:vAlign w:val="bottom"/>
          </w:tcPr>
          <w:p w14:paraId="50349975" w14:textId="18B8A8CC" w:rsidR="002B5377"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24,176</w:t>
            </w:r>
          </w:p>
        </w:tc>
        <w:tc>
          <w:tcPr>
            <w:tcW w:w="1031" w:type="dxa"/>
            <w:tcBorders>
              <w:bottom w:val="single" w:sz="4" w:space="0" w:color="auto"/>
            </w:tcBorders>
            <w:vAlign w:val="bottom"/>
          </w:tcPr>
          <w:p w14:paraId="0CEFEFDB" w14:textId="7F30487D" w:rsidR="002B5377"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20,282</w:t>
            </w:r>
          </w:p>
        </w:tc>
        <w:tc>
          <w:tcPr>
            <w:tcW w:w="1031" w:type="dxa"/>
            <w:tcBorders>
              <w:bottom w:val="single" w:sz="4" w:space="0" w:color="auto"/>
            </w:tcBorders>
            <w:vAlign w:val="bottom"/>
          </w:tcPr>
          <w:p w14:paraId="6BD14992" w14:textId="7A59CDF4" w:rsidR="002B5377" w:rsidRPr="00F94E46" w:rsidRDefault="002B5377" w:rsidP="00490FF5">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2,036,740</w:t>
            </w:r>
          </w:p>
        </w:tc>
      </w:tr>
      <w:tr w:rsidR="00DE1C4A" w:rsidRPr="00AD2E2A" w14:paraId="31794B47" w14:textId="77777777" w:rsidTr="00CF1DC5">
        <w:trPr>
          <w:trHeight w:val="294"/>
        </w:trPr>
        <w:tc>
          <w:tcPr>
            <w:tcW w:w="3490" w:type="dxa"/>
            <w:tcBorders>
              <w:top w:val="single" w:sz="4" w:space="0" w:color="auto"/>
              <w:bottom w:val="single" w:sz="4" w:space="0" w:color="auto"/>
            </w:tcBorders>
            <w:vAlign w:val="bottom"/>
          </w:tcPr>
          <w:p w14:paraId="43D27C1E" w14:textId="623F153B"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bCs/>
                <w:color w:val="000000" w:themeColor="text1"/>
                <w:sz w:val="15"/>
                <w:szCs w:val="15"/>
              </w:rPr>
              <w:lastRenderedPageBreak/>
              <w:t xml:space="preserve">Net book value as </w:t>
            </w:r>
            <w:proofErr w:type="gramStart"/>
            <w:r w:rsidRPr="00F94E46">
              <w:rPr>
                <w:rFonts w:ascii="Arial" w:hAnsi="Arial" w:cs="Arial"/>
                <w:b/>
                <w:bCs/>
                <w:color w:val="000000" w:themeColor="text1"/>
                <w:sz w:val="15"/>
                <w:szCs w:val="15"/>
              </w:rPr>
              <w:t>at</w:t>
            </w:r>
            <w:proofErr w:type="gramEnd"/>
            <w:r w:rsidRPr="00F94E46">
              <w:rPr>
                <w:rFonts w:ascii="Arial" w:hAnsi="Arial" w:cs="Arial"/>
                <w:b/>
                <w:bCs/>
                <w:color w:val="000000" w:themeColor="text1"/>
                <w:sz w:val="15"/>
                <w:szCs w:val="15"/>
              </w:rPr>
              <w:t xml:space="preserve"> </w:t>
            </w:r>
            <w:r w:rsidR="00CA3679" w:rsidRPr="00F94E46">
              <w:rPr>
                <w:rFonts w:ascii="Arial" w:hAnsi="Arial" w:cs="Arial"/>
                <w:b/>
                <w:bCs/>
                <w:color w:val="000000" w:themeColor="text1"/>
                <w:sz w:val="15"/>
                <w:szCs w:val="15"/>
              </w:rPr>
              <w:t>31 December 2021</w:t>
            </w:r>
          </w:p>
        </w:tc>
        <w:tc>
          <w:tcPr>
            <w:tcW w:w="1722" w:type="dxa"/>
            <w:tcBorders>
              <w:top w:val="single" w:sz="4" w:space="0" w:color="auto"/>
              <w:bottom w:val="single" w:sz="4" w:space="0" w:color="auto"/>
            </w:tcBorders>
            <w:vAlign w:val="bottom"/>
          </w:tcPr>
          <w:p w14:paraId="7CF06482" w14:textId="291E618F" w:rsidR="00DE1C4A" w:rsidRPr="00F94E46" w:rsidRDefault="002B5377"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8,436</w:t>
            </w:r>
          </w:p>
        </w:tc>
        <w:tc>
          <w:tcPr>
            <w:tcW w:w="1225" w:type="dxa"/>
            <w:tcBorders>
              <w:top w:val="single" w:sz="4" w:space="0" w:color="auto"/>
              <w:bottom w:val="single" w:sz="4" w:space="0" w:color="auto"/>
            </w:tcBorders>
            <w:vAlign w:val="bottom"/>
          </w:tcPr>
          <w:p w14:paraId="2D4CD8B9" w14:textId="0D917EB9"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w:t>
            </w:r>
            <w:r w:rsidR="002B5377" w:rsidRPr="00F94E46">
              <w:rPr>
                <w:rFonts w:ascii="Arial" w:hAnsi="Arial" w:cs="Arial"/>
                <w:b/>
                <w:color w:val="000000" w:themeColor="text1"/>
                <w:sz w:val="15"/>
                <w:szCs w:val="15"/>
              </w:rPr>
              <w:t>771,728</w:t>
            </w:r>
          </w:p>
        </w:tc>
        <w:tc>
          <w:tcPr>
            <w:tcW w:w="1170" w:type="dxa"/>
            <w:tcBorders>
              <w:top w:val="single" w:sz="4" w:space="0" w:color="auto"/>
              <w:bottom w:val="single" w:sz="4" w:space="0" w:color="auto"/>
            </w:tcBorders>
            <w:vAlign w:val="bottom"/>
          </w:tcPr>
          <w:p w14:paraId="7822F0AB" w14:textId="21B73588" w:rsidR="00DE1C4A" w:rsidRPr="00F94E46" w:rsidRDefault="002B5377"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22,215</w:t>
            </w:r>
          </w:p>
        </w:tc>
        <w:tc>
          <w:tcPr>
            <w:tcW w:w="1031" w:type="dxa"/>
            <w:tcBorders>
              <w:top w:val="single" w:sz="4" w:space="0" w:color="auto"/>
              <w:bottom w:val="single" w:sz="4" w:space="0" w:color="auto"/>
            </w:tcBorders>
            <w:vAlign w:val="bottom"/>
          </w:tcPr>
          <w:p w14:paraId="6F77CA8D" w14:textId="0C8D7056" w:rsidR="00DE1C4A" w:rsidRPr="00F94E46" w:rsidRDefault="002B5377"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w:t>
            </w:r>
          </w:p>
        </w:tc>
        <w:tc>
          <w:tcPr>
            <w:tcW w:w="1031" w:type="dxa"/>
            <w:tcBorders>
              <w:top w:val="single" w:sz="4" w:space="0" w:color="auto"/>
              <w:bottom w:val="single" w:sz="4" w:space="0" w:color="auto"/>
            </w:tcBorders>
            <w:vAlign w:val="bottom"/>
          </w:tcPr>
          <w:p w14:paraId="61A27BEE" w14:textId="291B4320" w:rsidR="00DE1C4A" w:rsidRPr="00F94E46" w:rsidRDefault="002B5377"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1,802,379</w:t>
            </w:r>
          </w:p>
        </w:tc>
      </w:tr>
      <w:tr w:rsidR="00DE1C4A" w:rsidRPr="00AD2E2A" w14:paraId="20861955" w14:textId="77777777" w:rsidTr="00CF1DC5">
        <w:trPr>
          <w:trHeight w:val="294"/>
        </w:trPr>
        <w:tc>
          <w:tcPr>
            <w:tcW w:w="3490" w:type="dxa"/>
            <w:tcBorders>
              <w:top w:val="single" w:sz="4" w:space="0" w:color="auto"/>
              <w:bottom w:val="single" w:sz="4" w:space="0" w:color="auto"/>
            </w:tcBorders>
            <w:vAlign w:val="bottom"/>
          </w:tcPr>
          <w:p w14:paraId="1549B943" w14:textId="0B037A0D"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color w:val="000000" w:themeColor="text1"/>
                <w:sz w:val="15"/>
                <w:szCs w:val="15"/>
              </w:rPr>
            </w:pPr>
            <w:r w:rsidRPr="00F94E46">
              <w:rPr>
                <w:rFonts w:ascii="Arial" w:hAnsi="Arial" w:cs="Arial"/>
                <w:b/>
                <w:bCs/>
                <w:color w:val="000000" w:themeColor="text1"/>
                <w:sz w:val="15"/>
                <w:szCs w:val="15"/>
              </w:rPr>
              <w:t xml:space="preserve">Net book value as </w:t>
            </w:r>
            <w:proofErr w:type="gramStart"/>
            <w:r w:rsidRPr="00F94E46">
              <w:rPr>
                <w:rFonts w:ascii="Arial" w:hAnsi="Arial" w:cs="Arial"/>
                <w:b/>
                <w:bCs/>
                <w:color w:val="000000" w:themeColor="text1"/>
                <w:sz w:val="15"/>
                <w:szCs w:val="15"/>
              </w:rPr>
              <w:t>at</w:t>
            </w:r>
            <w:proofErr w:type="gramEnd"/>
            <w:r w:rsidRPr="00F94E46">
              <w:rPr>
                <w:rFonts w:ascii="Arial" w:hAnsi="Arial" w:cs="Arial"/>
                <w:b/>
                <w:bCs/>
                <w:color w:val="000000" w:themeColor="text1"/>
                <w:sz w:val="15"/>
                <w:szCs w:val="15"/>
              </w:rPr>
              <w:t xml:space="preserve"> 30 June 2022</w:t>
            </w:r>
          </w:p>
        </w:tc>
        <w:tc>
          <w:tcPr>
            <w:tcW w:w="1722" w:type="dxa"/>
            <w:tcBorders>
              <w:top w:val="single" w:sz="4" w:space="0" w:color="auto"/>
              <w:bottom w:val="single" w:sz="4" w:space="0" w:color="auto"/>
            </w:tcBorders>
            <w:vAlign w:val="bottom"/>
          </w:tcPr>
          <w:p w14:paraId="48550A58" w14:textId="15EAD8BA" w:rsidR="00DE1C4A" w:rsidRPr="00F94E46" w:rsidRDefault="00A40680"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4,289</w:t>
            </w:r>
          </w:p>
        </w:tc>
        <w:tc>
          <w:tcPr>
            <w:tcW w:w="1225" w:type="dxa"/>
            <w:tcBorders>
              <w:top w:val="single" w:sz="4" w:space="0" w:color="auto"/>
              <w:bottom w:val="single" w:sz="4" w:space="0" w:color="auto"/>
            </w:tcBorders>
            <w:vAlign w:val="bottom"/>
          </w:tcPr>
          <w:p w14:paraId="017AA4FE" w14:textId="07389644"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1,874,935</w:t>
            </w:r>
          </w:p>
        </w:tc>
        <w:tc>
          <w:tcPr>
            <w:tcW w:w="1170" w:type="dxa"/>
            <w:tcBorders>
              <w:top w:val="single" w:sz="4" w:space="0" w:color="auto"/>
              <w:bottom w:val="single" w:sz="4" w:space="0" w:color="auto"/>
            </w:tcBorders>
            <w:vAlign w:val="bottom"/>
          </w:tcPr>
          <w:p w14:paraId="591861A3" w14:textId="18010505"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22,581</w:t>
            </w:r>
          </w:p>
        </w:tc>
        <w:tc>
          <w:tcPr>
            <w:tcW w:w="1031" w:type="dxa"/>
            <w:tcBorders>
              <w:top w:val="single" w:sz="4" w:space="0" w:color="auto"/>
              <w:bottom w:val="single" w:sz="4" w:space="0" w:color="auto"/>
            </w:tcBorders>
            <w:vAlign w:val="bottom"/>
          </w:tcPr>
          <w:p w14:paraId="1766A15B" w14:textId="65A22555"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color w:val="000000" w:themeColor="text1"/>
                <w:sz w:val="15"/>
                <w:szCs w:val="15"/>
              </w:rPr>
            </w:pPr>
            <w:r w:rsidRPr="00F94E46">
              <w:rPr>
                <w:rFonts w:ascii="Arial" w:hAnsi="Arial" w:cs="Arial"/>
                <w:b/>
                <w:color w:val="000000" w:themeColor="text1"/>
                <w:sz w:val="15"/>
                <w:szCs w:val="15"/>
              </w:rPr>
              <w:t>-</w:t>
            </w:r>
          </w:p>
        </w:tc>
        <w:tc>
          <w:tcPr>
            <w:tcW w:w="1031" w:type="dxa"/>
            <w:tcBorders>
              <w:top w:val="single" w:sz="4" w:space="0" w:color="auto"/>
              <w:bottom w:val="single" w:sz="4" w:space="0" w:color="auto"/>
            </w:tcBorders>
            <w:vAlign w:val="bottom"/>
          </w:tcPr>
          <w:p w14:paraId="5748D7A7" w14:textId="0EBD2913" w:rsidR="00DE1C4A" w:rsidRPr="00F94E46" w:rsidRDefault="00DE1C4A" w:rsidP="00DE1C4A">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color w:val="000000" w:themeColor="text1"/>
                <w:sz w:val="15"/>
                <w:szCs w:val="15"/>
              </w:rPr>
            </w:pPr>
            <w:r w:rsidRPr="00F94E46">
              <w:rPr>
                <w:rFonts w:ascii="Arial" w:hAnsi="Arial" w:cs="Arial"/>
                <w:b/>
                <w:color w:val="000000" w:themeColor="text1"/>
                <w:sz w:val="15"/>
                <w:szCs w:val="15"/>
              </w:rPr>
              <w:t>1,874,805</w:t>
            </w:r>
          </w:p>
        </w:tc>
      </w:tr>
      <w:tr w:rsidR="00DE1C4A" w:rsidRPr="00AD2E2A" w14:paraId="4FA27E74" w14:textId="77777777" w:rsidTr="00CF1DC5">
        <w:trPr>
          <w:trHeight w:val="282"/>
        </w:trPr>
        <w:tc>
          <w:tcPr>
            <w:tcW w:w="3490" w:type="dxa"/>
            <w:tcBorders>
              <w:top w:val="single" w:sz="4" w:space="0" w:color="auto"/>
            </w:tcBorders>
            <w:vAlign w:val="bottom"/>
          </w:tcPr>
          <w:p w14:paraId="5E3CCCE2" w14:textId="1655C627"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rPr>
                <w:rFonts w:ascii="Arial" w:hAnsi="Arial" w:cs="Arial"/>
                <w:b/>
                <w:sz w:val="15"/>
                <w:szCs w:val="15"/>
              </w:rPr>
            </w:pPr>
          </w:p>
        </w:tc>
        <w:tc>
          <w:tcPr>
            <w:tcW w:w="1722" w:type="dxa"/>
            <w:tcBorders>
              <w:top w:val="single" w:sz="4" w:space="0" w:color="auto"/>
            </w:tcBorders>
            <w:vAlign w:val="bottom"/>
          </w:tcPr>
          <w:p w14:paraId="5D8CEF23" w14:textId="49ED6AE3"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5"/>
                <w:szCs w:val="15"/>
                <w:highlight w:val="yellow"/>
              </w:rPr>
            </w:pPr>
          </w:p>
        </w:tc>
        <w:tc>
          <w:tcPr>
            <w:tcW w:w="1225" w:type="dxa"/>
            <w:tcBorders>
              <w:top w:val="single" w:sz="4" w:space="0" w:color="auto"/>
            </w:tcBorders>
            <w:vAlign w:val="bottom"/>
          </w:tcPr>
          <w:p w14:paraId="02BF0748" w14:textId="586CE5A1"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5"/>
                <w:szCs w:val="15"/>
                <w:highlight w:val="yellow"/>
              </w:rPr>
            </w:pPr>
          </w:p>
        </w:tc>
        <w:tc>
          <w:tcPr>
            <w:tcW w:w="1170" w:type="dxa"/>
            <w:tcBorders>
              <w:top w:val="single" w:sz="4" w:space="0" w:color="auto"/>
            </w:tcBorders>
            <w:vAlign w:val="bottom"/>
          </w:tcPr>
          <w:p w14:paraId="75870867" w14:textId="222F4773"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5"/>
                <w:szCs w:val="15"/>
                <w:highlight w:val="yellow"/>
              </w:rPr>
            </w:pPr>
          </w:p>
        </w:tc>
        <w:tc>
          <w:tcPr>
            <w:tcW w:w="1031" w:type="dxa"/>
            <w:tcBorders>
              <w:top w:val="single" w:sz="4" w:space="0" w:color="auto"/>
            </w:tcBorders>
            <w:vAlign w:val="bottom"/>
          </w:tcPr>
          <w:p w14:paraId="585A60EA" w14:textId="1F2513D6"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5"/>
                <w:szCs w:val="15"/>
                <w:highlight w:val="yellow"/>
              </w:rPr>
            </w:pPr>
          </w:p>
        </w:tc>
        <w:tc>
          <w:tcPr>
            <w:tcW w:w="1031" w:type="dxa"/>
            <w:tcBorders>
              <w:top w:val="single" w:sz="4" w:space="0" w:color="auto"/>
            </w:tcBorders>
            <w:vAlign w:val="bottom"/>
          </w:tcPr>
          <w:p w14:paraId="1E44C767" w14:textId="246B3BF6" w:rsidR="00DE1C4A" w:rsidRPr="00F94E46" w:rsidRDefault="00DE1C4A" w:rsidP="00DE1C4A">
            <w:pPr>
              <w:keepNext/>
              <w:keepLines/>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5"/>
                <w:szCs w:val="15"/>
                <w:highlight w:val="yellow"/>
              </w:rPr>
            </w:pPr>
          </w:p>
        </w:tc>
      </w:tr>
    </w:tbl>
    <w:p w14:paraId="406ABB0C" w14:textId="77777777" w:rsidR="003A4679" w:rsidRDefault="003A4679" w:rsidP="00ED5415">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sz w:val="20"/>
        </w:rPr>
      </w:pPr>
    </w:p>
    <w:p w14:paraId="5FD094A6" w14:textId="77777777" w:rsidR="00ED5415" w:rsidRDefault="008B5071" w:rsidP="00ED5415">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r>
        <w:rPr>
          <w:rFonts w:ascii="Arial" w:hAnsi="Arial" w:cs="Arial"/>
          <w:b/>
          <w:sz w:val="20"/>
        </w:rPr>
        <w:t>6</w:t>
      </w:r>
      <w:r w:rsidR="00FC4BF5">
        <w:rPr>
          <w:rFonts w:ascii="Arial" w:hAnsi="Arial" w:cs="Arial"/>
          <w:b/>
          <w:sz w:val="20"/>
        </w:rPr>
        <w:t xml:space="preserve">. </w:t>
      </w:r>
      <w:r>
        <w:rPr>
          <w:rFonts w:ascii="Arial" w:hAnsi="Arial" w:cs="Arial"/>
          <w:b/>
          <w:sz w:val="20"/>
        </w:rPr>
        <w:t xml:space="preserve"> </w:t>
      </w:r>
      <w:r w:rsidR="00ED5415" w:rsidRPr="00DE58AD">
        <w:rPr>
          <w:rFonts w:ascii="Arial" w:hAnsi="Arial" w:cs="Arial"/>
          <w:b/>
          <w:bCs/>
          <w:sz w:val="20"/>
        </w:rPr>
        <w:t>Intangible Assets</w:t>
      </w:r>
    </w:p>
    <w:p w14:paraId="5FE39A9D" w14:textId="77777777" w:rsidR="00F73B82" w:rsidRDefault="00F73B82" w:rsidP="00ED5415">
      <w:pPr>
        <w:keepNext/>
        <w:tabs>
          <w:tab w:val="left" w:pos="346"/>
          <w:tab w:val="left" w:pos="720"/>
          <w:tab w:val="left" w:pos="1151"/>
          <w:tab w:val="decimal" w:pos="6049"/>
          <w:tab w:val="decimal" w:pos="7342"/>
          <w:tab w:val="decimal" w:pos="8640"/>
          <w:tab w:val="decimal" w:pos="9836"/>
        </w:tabs>
        <w:suppressAutoHyphens/>
        <w:jc w:val="both"/>
        <w:rPr>
          <w:rFonts w:ascii="Arial" w:hAnsi="Arial" w:cs="Arial"/>
          <w:sz w:val="18"/>
          <w:szCs w:val="18"/>
        </w:rPr>
      </w:pPr>
    </w:p>
    <w:p w14:paraId="39AF71F8" w14:textId="77777777" w:rsidR="00297C32" w:rsidRDefault="00297C32" w:rsidP="00297C32">
      <w:pPr>
        <w:tabs>
          <w:tab w:val="left" w:pos="1150"/>
          <w:tab w:val="right" w:pos="9878"/>
        </w:tabs>
        <w:suppressAutoHyphens/>
        <w:jc w:val="both"/>
        <w:outlineLvl w:val="0"/>
        <w:rPr>
          <w:rFonts w:ascii="Arial" w:hAnsi="Arial" w:cs="Arial"/>
          <w:sz w:val="18"/>
          <w:szCs w:val="18"/>
        </w:rPr>
      </w:pPr>
      <w:r>
        <w:rPr>
          <w:rFonts w:ascii="Arial" w:hAnsi="Arial" w:cs="Arial"/>
          <w:sz w:val="18"/>
          <w:szCs w:val="18"/>
        </w:rPr>
        <w:t>Intangible assets comprise exploration and evaluation costs and goodwill.</w:t>
      </w:r>
      <w:r w:rsidRPr="00297C32">
        <w:rPr>
          <w:rFonts w:ascii="Arial" w:hAnsi="Arial" w:cs="Arial"/>
          <w:sz w:val="18"/>
          <w:szCs w:val="18"/>
        </w:rPr>
        <w:t xml:space="preserve"> </w:t>
      </w:r>
      <w:r>
        <w:rPr>
          <w:rFonts w:ascii="Arial" w:hAnsi="Arial" w:cs="Arial"/>
          <w:sz w:val="18"/>
          <w:szCs w:val="18"/>
        </w:rPr>
        <w:t>Exploration and evaluation costs comprise acquired and internally generated assets</w:t>
      </w:r>
      <w:r w:rsidRPr="00F73B82">
        <w:rPr>
          <w:rFonts w:ascii="Arial" w:hAnsi="Arial" w:cs="Arial"/>
          <w:sz w:val="18"/>
          <w:szCs w:val="18"/>
        </w:rPr>
        <w:t>.</w:t>
      </w:r>
    </w:p>
    <w:p w14:paraId="1AB41761" w14:textId="77777777" w:rsidR="00D34330" w:rsidRPr="00681508" w:rsidRDefault="00D34330" w:rsidP="00ED5415">
      <w:pPr>
        <w:keepNext/>
        <w:tabs>
          <w:tab w:val="left" w:pos="346"/>
          <w:tab w:val="left" w:pos="720"/>
          <w:tab w:val="left" w:pos="1151"/>
          <w:tab w:val="decimal" w:pos="6049"/>
          <w:tab w:val="decimal" w:pos="7342"/>
          <w:tab w:val="decimal" w:pos="8640"/>
          <w:tab w:val="decimal" w:pos="9836"/>
        </w:tabs>
        <w:suppressAutoHyphens/>
        <w:jc w:val="both"/>
        <w:rPr>
          <w:rFonts w:ascii="Arial" w:hAnsi="Arial" w:cs="Arial"/>
          <w:sz w:val="18"/>
          <w:szCs w:val="18"/>
        </w:rPr>
      </w:pP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0"/>
        <w:gridCol w:w="1240"/>
        <w:gridCol w:w="3795"/>
      </w:tblGrid>
      <w:tr w:rsidR="00A70D7E" w:rsidRPr="00A70D7E" w14:paraId="564BA038" w14:textId="77777777" w:rsidTr="0006190C">
        <w:tc>
          <w:tcPr>
            <w:tcW w:w="4780" w:type="dxa"/>
            <w:tcBorders>
              <w:top w:val="nil"/>
              <w:left w:val="nil"/>
              <w:bottom w:val="single" w:sz="4" w:space="0" w:color="000000"/>
              <w:right w:val="nil"/>
            </w:tcBorders>
            <w:vAlign w:val="bottom"/>
          </w:tcPr>
          <w:p w14:paraId="09F1A761" w14:textId="77777777" w:rsidR="00D27CC5" w:rsidRPr="00A70D7E" w:rsidRDefault="00D27CC5" w:rsidP="00ED5415">
            <w:pPr>
              <w:keepNext/>
              <w:tabs>
                <w:tab w:val="left" w:pos="346"/>
                <w:tab w:val="left" w:pos="720"/>
                <w:tab w:val="left" w:pos="1152"/>
                <w:tab w:val="decimal" w:pos="6048"/>
                <w:tab w:val="decimal" w:pos="7344"/>
                <w:tab w:val="decimal" w:pos="8640"/>
                <w:tab w:val="decimal" w:pos="9835"/>
              </w:tabs>
              <w:suppressAutoHyphens/>
              <w:rPr>
                <w:rFonts w:ascii="Arial" w:hAnsi="Arial" w:cs="Arial"/>
                <w:b/>
                <w:sz w:val="18"/>
                <w:szCs w:val="18"/>
              </w:rPr>
            </w:pPr>
            <w:r w:rsidRPr="00A70D7E">
              <w:rPr>
                <w:rFonts w:ascii="Arial" w:hAnsi="Arial" w:cs="Arial"/>
                <w:b/>
                <w:sz w:val="18"/>
                <w:szCs w:val="18"/>
              </w:rPr>
              <w:t>Cost and Net Book Value</w:t>
            </w:r>
          </w:p>
        </w:tc>
        <w:tc>
          <w:tcPr>
            <w:tcW w:w="1240" w:type="dxa"/>
            <w:tcBorders>
              <w:top w:val="nil"/>
              <w:left w:val="nil"/>
              <w:bottom w:val="single" w:sz="4" w:space="0" w:color="000000"/>
              <w:right w:val="nil"/>
            </w:tcBorders>
            <w:vAlign w:val="bottom"/>
          </w:tcPr>
          <w:p w14:paraId="16AEDE20" w14:textId="77777777" w:rsidR="00D27CC5" w:rsidRPr="00A70D7E" w:rsidRDefault="00D27CC5" w:rsidP="00AE7D4E">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p>
        </w:tc>
        <w:tc>
          <w:tcPr>
            <w:tcW w:w="3795" w:type="dxa"/>
            <w:tcBorders>
              <w:top w:val="nil"/>
              <w:left w:val="nil"/>
              <w:bottom w:val="single" w:sz="4" w:space="0" w:color="000000"/>
              <w:right w:val="nil"/>
            </w:tcBorders>
          </w:tcPr>
          <w:p w14:paraId="4D8C39B5" w14:textId="77777777" w:rsidR="00D27CC5" w:rsidRPr="00A70D7E" w:rsidRDefault="00D27CC5" w:rsidP="00ED5415">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sidRPr="00A70D7E">
              <w:rPr>
                <w:rFonts w:ascii="Arial" w:hAnsi="Arial" w:cs="Arial"/>
                <w:b/>
                <w:sz w:val="16"/>
                <w:szCs w:val="16"/>
              </w:rPr>
              <w:t>Exploration &amp; evaluation assets</w:t>
            </w:r>
          </w:p>
          <w:p w14:paraId="178EA48E" w14:textId="77777777" w:rsidR="00D27CC5" w:rsidRPr="00A70D7E" w:rsidRDefault="00D27CC5" w:rsidP="00ED5415">
            <w:pPr>
              <w:tabs>
                <w:tab w:val="decimal" w:pos="4723"/>
                <w:tab w:val="decimal" w:pos="6019"/>
                <w:tab w:val="decimal" w:pos="7315"/>
                <w:tab w:val="decimal" w:pos="8611"/>
                <w:tab w:val="decimal" w:pos="9878"/>
              </w:tabs>
              <w:suppressAutoHyphens/>
              <w:spacing w:before="60" w:after="60"/>
              <w:jc w:val="right"/>
              <w:rPr>
                <w:rFonts w:ascii="Arial" w:hAnsi="Arial" w:cs="Arial"/>
                <w:b/>
                <w:sz w:val="16"/>
                <w:szCs w:val="16"/>
              </w:rPr>
            </w:pPr>
            <w:r w:rsidRPr="00A70D7E">
              <w:rPr>
                <w:rFonts w:ascii="Arial" w:hAnsi="Arial" w:cs="Arial"/>
                <w:b/>
                <w:sz w:val="16"/>
                <w:szCs w:val="16"/>
              </w:rPr>
              <w:t>£</w:t>
            </w:r>
          </w:p>
        </w:tc>
      </w:tr>
      <w:tr w:rsidR="00A70D7E" w:rsidRPr="00A70D7E" w14:paraId="5D98EDA2" w14:textId="77777777" w:rsidTr="00911FEC">
        <w:tc>
          <w:tcPr>
            <w:tcW w:w="4780" w:type="dxa"/>
            <w:tcBorders>
              <w:top w:val="single" w:sz="4" w:space="0" w:color="000000"/>
              <w:left w:val="nil"/>
              <w:bottom w:val="nil"/>
              <w:right w:val="nil"/>
            </w:tcBorders>
          </w:tcPr>
          <w:p w14:paraId="4F9FD7DC"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Cs/>
                <w:sz w:val="18"/>
                <w:szCs w:val="18"/>
              </w:rPr>
              <w:t xml:space="preserve">Balance as </w:t>
            </w:r>
            <w:proofErr w:type="gramStart"/>
            <w:r w:rsidRPr="00A70D7E">
              <w:rPr>
                <w:rFonts w:ascii="Arial" w:hAnsi="Arial" w:cs="Arial"/>
                <w:bCs/>
                <w:sz w:val="18"/>
                <w:szCs w:val="18"/>
              </w:rPr>
              <w:t>at</w:t>
            </w:r>
            <w:proofErr w:type="gramEnd"/>
            <w:r w:rsidRPr="00A70D7E">
              <w:rPr>
                <w:rFonts w:ascii="Arial" w:hAnsi="Arial" w:cs="Arial"/>
                <w:bCs/>
                <w:sz w:val="18"/>
                <w:szCs w:val="18"/>
              </w:rPr>
              <w:t xml:space="preserve"> 1 January 2021</w:t>
            </w:r>
          </w:p>
        </w:tc>
        <w:tc>
          <w:tcPr>
            <w:tcW w:w="1240" w:type="dxa"/>
            <w:tcBorders>
              <w:top w:val="single" w:sz="4" w:space="0" w:color="000000"/>
              <w:left w:val="nil"/>
              <w:bottom w:val="nil"/>
              <w:right w:val="nil"/>
            </w:tcBorders>
          </w:tcPr>
          <w:p w14:paraId="4228EC50"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single" w:sz="4" w:space="0" w:color="000000"/>
              <w:left w:val="nil"/>
              <w:bottom w:val="nil"/>
              <w:right w:val="nil"/>
            </w:tcBorders>
          </w:tcPr>
          <w:p w14:paraId="36FE874A" w14:textId="77777777" w:rsidR="00DA5F04" w:rsidRPr="00A70D7E" w:rsidRDefault="00562381"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r w:rsidRPr="00A70D7E">
              <w:rPr>
                <w:rFonts w:ascii="Arial" w:hAnsi="Arial" w:cs="Arial"/>
                <w:bCs/>
                <w:sz w:val="18"/>
                <w:szCs w:val="18"/>
              </w:rPr>
              <w:t>26,768,227</w:t>
            </w:r>
          </w:p>
        </w:tc>
      </w:tr>
      <w:tr w:rsidR="00A70D7E" w:rsidRPr="00A70D7E" w14:paraId="6503165C" w14:textId="77777777" w:rsidTr="00911FEC">
        <w:tc>
          <w:tcPr>
            <w:tcW w:w="4780" w:type="dxa"/>
            <w:tcBorders>
              <w:top w:val="nil"/>
              <w:left w:val="nil"/>
              <w:bottom w:val="nil"/>
              <w:right w:val="nil"/>
            </w:tcBorders>
          </w:tcPr>
          <w:p w14:paraId="4EE15231"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Cs/>
                <w:sz w:val="18"/>
                <w:szCs w:val="18"/>
              </w:rPr>
              <w:t>Additions</w:t>
            </w:r>
          </w:p>
        </w:tc>
        <w:tc>
          <w:tcPr>
            <w:tcW w:w="1240" w:type="dxa"/>
            <w:tcBorders>
              <w:top w:val="nil"/>
              <w:left w:val="nil"/>
              <w:bottom w:val="nil"/>
              <w:right w:val="nil"/>
            </w:tcBorders>
          </w:tcPr>
          <w:p w14:paraId="351B02AF"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nil"/>
              <w:left w:val="nil"/>
              <w:bottom w:val="nil"/>
              <w:right w:val="nil"/>
            </w:tcBorders>
          </w:tcPr>
          <w:p w14:paraId="6842C817" w14:textId="77777777" w:rsidR="00DA5F04" w:rsidRPr="00A70D7E" w:rsidRDefault="00562381"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r w:rsidRPr="00A70D7E">
              <w:rPr>
                <w:rFonts w:ascii="Arial" w:hAnsi="Arial" w:cs="Arial"/>
                <w:bCs/>
                <w:sz w:val="18"/>
                <w:szCs w:val="18"/>
              </w:rPr>
              <w:t>1,095,841</w:t>
            </w:r>
          </w:p>
        </w:tc>
      </w:tr>
      <w:tr w:rsidR="00A70D7E" w:rsidRPr="00A70D7E" w14:paraId="65BD69C7" w14:textId="77777777" w:rsidTr="00911FEC">
        <w:tc>
          <w:tcPr>
            <w:tcW w:w="4780" w:type="dxa"/>
            <w:tcBorders>
              <w:top w:val="nil"/>
              <w:left w:val="nil"/>
              <w:bottom w:val="single" w:sz="4" w:space="0" w:color="000000"/>
              <w:right w:val="nil"/>
            </w:tcBorders>
          </w:tcPr>
          <w:p w14:paraId="427DB8DD"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Cs/>
                <w:sz w:val="18"/>
                <w:szCs w:val="18"/>
              </w:rPr>
              <w:t>Exchange rate movements</w:t>
            </w:r>
          </w:p>
        </w:tc>
        <w:tc>
          <w:tcPr>
            <w:tcW w:w="1240" w:type="dxa"/>
            <w:tcBorders>
              <w:top w:val="nil"/>
              <w:left w:val="nil"/>
              <w:bottom w:val="single" w:sz="4" w:space="0" w:color="000000"/>
              <w:right w:val="nil"/>
            </w:tcBorders>
          </w:tcPr>
          <w:p w14:paraId="6C29D046"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nil"/>
              <w:left w:val="nil"/>
              <w:bottom w:val="single" w:sz="4" w:space="0" w:color="000000"/>
              <w:right w:val="nil"/>
            </w:tcBorders>
          </w:tcPr>
          <w:p w14:paraId="1B27ED0A" w14:textId="77777777" w:rsidR="00DA5F04" w:rsidRPr="00A70D7E" w:rsidRDefault="00562381"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r w:rsidRPr="00A70D7E">
              <w:rPr>
                <w:rFonts w:ascii="Arial" w:hAnsi="Arial" w:cs="Arial"/>
                <w:bCs/>
                <w:sz w:val="18"/>
                <w:szCs w:val="18"/>
              </w:rPr>
              <w:t>(1,268,868)</w:t>
            </w:r>
          </w:p>
        </w:tc>
      </w:tr>
      <w:tr w:rsidR="00A70D7E" w:rsidRPr="00A70D7E" w14:paraId="4BCBDBAE" w14:textId="77777777" w:rsidTr="0006190C">
        <w:tc>
          <w:tcPr>
            <w:tcW w:w="4780" w:type="dxa"/>
            <w:tcBorders>
              <w:top w:val="single" w:sz="4" w:space="0" w:color="000000"/>
              <w:left w:val="nil"/>
              <w:bottom w:val="single" w:sz="4" w:space="0" w:color="000000"/>
              <w:right w:val="nil"/>
            </w:tcBorders>
          </w:tcPr>
          <w:p w14:paraId="2E8FECA2"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
                <w:bCs/>
                <w:sz w:val="18"/>
                <w:szCs w:val="18"/>
              </w:rPr>
              <w:t xml:space="preserve">As </w:t>
            </w:r>
            <w:proofErr w:type="gramStart"/>
            <w:r w:rsidRPr="00A70D7E">
              <w:rPr>
                <w:rFonts w:ascii="Arial" w:hAnsi="Arial" w:cs="Arial"/>
                <w:b/>
                <w:bCs/>
                <w:sz w:val="18"/>
                <w:szCs w:val="18"/>
              </w:rPr>
              <w:t>at</w:t>
            </w:r>
            <w:proofErr w:type="gramEnd"/>
            <w:r w:rsidRPr="00A70D7E">
              <w:rPr>
                <w:rFonts w:ascii="Arial" w:hAnsi="Arial" w:cs="Arial"/>
                <w:b/>
                <w:bCs/>
                <w:sz w:val="18"/>
                <w:szCs w:val="18"/>
              </w:rPr>
              <w:t xml:space="preserve"> 30 June 2021</w:t>
            </w:r>
          </w:p>
        </w:tc>
        <w:tc>
          <w:tcPr>
            <w:tcW w:w="1240" w:type="dxa"/>
            <w:tcBorders>
              <w:top w:val="single" w:sz="4" w:space="0" w:color="000000"/>
              <w:left w:val="nil"/>
              <w:bottom w:val="single" w:sz="4" w:space="0" w:color="000000"/>
              <w:right w:val="nil"/>
            </w:tcBorders>
          </w:tcPr>
          <w:p w14:paraId="6275C78F" w14:textId="77777777" w:rsidR="00DA5F04" w:rsidRPr="00A70D7E" w:rsidRDefault="00DA5F04"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single" w:sz="4" w:space="0" w:color="000000"/>
              <w:left w:val="nil"/>
              <w:bottom w:val="single" w:sz="4" w:space="0" w:color="000000"/>
              <w:right w:val="nil"/>
            </w:tcBorders>
          </w:tcPr>
          <w:p w14:paraId="5B75A871" w14:textId="77777777" w:rsidR="00DA5F04" w:rsidRPr="00A70D7E" w:rsidRDefault="00562381" w:rsidP="00DA5F04">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8"/>
                <w:szCs w:val="18"/>
              </w:rPr>
            </w:pPr>
            <w:r w:rsidRPr="00A70D7E">
              <w:rPr>
                <w:rFonts w:ascii="Arial" w:hAnsi="Arial" w:cs="Arial"/>
                <w:b/>
                <w:sz w:val="18"/>
                <w:szCs w:val="18"/>
              </w:rPr>
              <w:t>26,595,200</w:t>
            </w:r>
          </w:p>
        </w:tc>
      </w:tr>
      <w:tr w:rsidR="00A70D7E" w:rsidRPr="00A70D7E" w14:paraId="6853A9C8" w14:textId="77777777" w:rsidTr="00691662">
        <w:tc>
          <w:tcPr>
            <w:tcW w:w="4780" w:type="dxa"/>
            <w:tcBorders>
              <w:top w:val="nil"/>
              <w:left w:val="nil"/>
              <w:bottom w:val="nil"/>
              <w:right w:val="nil"/>
            </w:tcBorders>
          </w:tcPr>
          <w:p w14:paraId="76EEFAF8" w14:textId="0269EFDC"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r w:rsidRPr="00A70D7E">
              <w:rPr>
                <w:rFonts w:ascii="Arial" w:hAnsi="Arial" w:cs="Arial"/>
                <w:bCs/>
                <w:sz w:val="18"/>
                <w:szCs w:val="18"/>
              </w:rPr>
              <w:t xml:space="preserve">Balance as </w:t>
            </w:r>
            <w:proofErr w:type="gramStart"/>
            <w:r w:rsidRPr="00A70D7E">
              <w:rPr>
                <w:rFonts w:ascii="Arial" w:hAnsi="Arial" w:cs="Arial"/>
                <w:bCs/>
                <w:sz w:val="18"/>
                <w:szCs w:val="18"/>
              </w:rPr>
              <w:t>at</w:t>
            </w:r>
            <w:proofErr w:type="gramEnd"/>
            <w:r w:rsidRPr="00A70D7E">
              <w:rPr>
                <w:rFonts w:ascii="Arial" w:hAnsi="Arial" w:cs="Arial"/>
                <w:bCs/>
                <w:sz w:val="18"/>
                <w:szCs w:val="18"/>
              </w:rPr>
              <w:t xml:space="preserve"> 1 July 2021</w:t>
            </w:r>
          </w:p>
        </w:tc>
        <w:tc>
          <w:tcPr>
            <w:tcW w:w="1240" w:type="dxa"/>
            <w:tcBorders>
              <w:top w:val="nil"/>
              <w:left w:val="nil"/>
              <w:bottom w:val="nil"/>
              <w:right w:val="nil"/>
            </w:tcBorders>
          </w:tcPr>
          <w:p w14:paraId="491EEAEA" w14:textId="77777777"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p>
        </w:tc>
        <w:tc>
          <w:tcPr>
            <w:tcW w:w="3795" w:type="dxa"/>
            <w:tcBorders>
              <w:top w:val="nil"/>
              <w:left w:val="nil"/>
              <w:bottom w:val="nil"/>
              <w:right w:val="nil"/>
            </w:tcBorders>
          </w:tcPr>
          <w:p w14:paraId="4226DF5C" w14:textId="1965154A" w:rsidR="004900F7" w:rsidRPr="00A70D7E" w:rsidRDefault="00A70D7E" w:rsidP="004900F7">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r w:rsidRPr="00A70D7E">
              <w:rPr>
                <w:rFonts w:ascii="Arial" w:hAnsi="Arial" w:cs="Arial"/>
                <w:bCs/>
                <w:sz w:val="18"/>
                <w:szCs w:val="18"/>
              </w:rPr>
              <w:t>26,595,200</w:t>
            </w:r>
          </w:p>
        </w:tc>
      </w:tr>
      <w:tr w:rsidR="00A70D7E" w:rsidRPr="00A70D7E" w14:paraId="5DEB8ABD" w14:textId="77777777" w:rsidTr="00691662">
        <w:tc>
          <w:tcPr>
            <w:tcW w:w="4780" w:type="dxa"/>
            <w:tcBorders>
              <w:top w:val="nil"/>
              <w:left w:val="nil"/>
              <w:bottom w:val="nil"/>
              <w:right w:val="nil"/>
            </w:tcBorders>
          </w:tcPr>
          <w:p w14:paraId="6CA543EE" w14:textId="77777777"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after="60"/>
              <w:jc w:val="both"/>
              <w:rPr>
                <w:rFonts w:ascii="Arial" w:hAnsi="Arial" w:cs="Arial"/>
                <w:bCs/>
                <w:sz w:val="18"/>
                <w:szCs w:val="18"/>
              </w:rPr>
            </w:pPr>
            <w:r w:rsidRPr="00A70D7E">
              <w:rPr>
                <w:rFonts w:ascii="Arial" w:hAnsi="Arial" w:cs="Arial"/>
                <w:bCs/>
                <w:sz w:val="18"/>
                <w:szCs w:val="18"/>
              </w:rPr>
              <w:t>Additions</w:t>
            </w:r>
          </w:p>
        </w:tc>
        <w:tc>
          <w:tcPr>
            <w:tcW w:w="1240" w:type="dxa"/>
            <w:tcBorders>
              <w:top w:val="nil"/>
              <w:left w:val="nil"/>
              <w:bottom w:val="nil"/>
              <w:right w:val="nil"/>
            </w:tcBorders>
          </w:tcPr>
          <w:p w14:paraId="1B2BFF58" w14:textId="77777777"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Cs/>
                <w:sz w:val="18"/>
                <w:szCs w:val="18"/>
              </w:rPr>
            </w:pPr>
          </w:p>
        </w:tc>
        <w:tc>
          <w:tcPr>
            <w:tcW w:w="3795" w:type="dxa"/>
            <w:tcBorders>
              <w:top w:val="nil"/>
              <w:left w:val="nil"/>
              <w:bottom w:val="nil"/>
              <w:right w:val="nil"/>
            </w:tcBorders>
          </w:tcPr>
          <w:p w14:paraId="01EF8C71" w14:textId="05AFDCC1" w:rsidR="004900F7" w:rsidRPr="00A70D7E" w:rsidRDefault="00F86BFA" w:rsidP="004900F7">
            <w:pPr>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Cs/>
                <w:sz w:val="18"/>
                <w:szCs w:val="18"/>
              </w:rPr>
            </w:pPr>
            <w:r w:rsidRPr="005F6D82">
              <w:rPr>
                <w:rFonts w:ascii="Arial" w:hAnsi="Arial" w:cs="Arial"/>
                <w:bCs/>
                <w:sz w:val="18"/>
                <w:szCs w:val="18"/>
              </w:rPr>
              <w:t>1</w:t>
            </w:r>
            <w:r w:rsidR="00A70D7E" w:rsidRPr="005F6D82">
              <w:rPr>
                <w:rFonts w:ascii="Arial" w:hAnsi="Arial" w:cs="Arial"/>
                <w:bCs/>
                <w:sz w:val="18"/>
                <w:szCs w:val="18"/>
              </w:rPr>
              <w:t>,</w:t>
            </w:r>
            <w:r w:rsidRPr="005F6D82">
              <w:rPr>
                <w:rFonts w:ascii="Arial" w:hAnsi="Arial" w:cs="Arial"/>
                <w:bCs/>
                <w:sz w:val="18"/>
                <w:szCs w:val="18"/>
              </w:rPr>
              <w:t>791</w:t>
            </w:r>
            <w:r w:rsidR="00A70D7E" w:rsidRPr="005F6D82">
              <w:rPr>
                <w:rFonts w:ascii="Arial" w:hAnsi="Arial" w:cs="Arial"/>
                <w:bCs/>
                <w:sz w:val="18"/>
                <w:szCs w:val="18"/>
              </w:rPr>
              <w:t>,</w:t>
            </w:r>
            <w:r w:rsidRPr="005F6D82">
              <w:rPr>
                <w:rFonts w:ascii="Arial" w:hAnsi="Arial" w:cs="Arial"/>
                <w:bCs/>
                <w:sz w:val="18"/>
                <w:szCs w:val="18"/>
              </w:rPr>
              <w:t>269</w:t>
            </w:r>
          </w:p>
        </w:tc>
      </w:tr>
      <w:tr w:rsidR="00A70D7E" w:rsidRPr="00A70D7E" w14:paraId="40B9097E" w14:textId="77777777" w:rsidTr="00691662">
        <w:tc>
          <w:tcPr>
            <w:tcW w:w="4780" w:type="dxa"/>
            <w:tcBorders>
              <w:top w:val="nil"/>
              <w:left w:val="nil"/>
              <w:bottom w:val="single" w:sz="4" w:space="0" w:color="000000"/>
              <w:right w:val="nil"/>
            </w:tcBorders>
          </w:tcPr>
          <w:p w14:paraId="30365DA3" w14:textId="77777777"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after="60"/>
              <w:jc w:val="both"/>
              <w:rPr>
                <w:rFonts w:ascii="Arial" w:hAnsi="Arial" w:cs="Arial"/>
                <w:bCs/>
                <w:sz w:val="18"/>
                <w:szCs w:val="18"/>
              </w:rPr>
            </w:pPr>
            <w:r w:rsidRPr="00A70D7E">
              <w:rPr>
                <w:rFonts w:ascii="Arial" w:hAnsi="Arial" w:cs="Arial"/>
                <w:bCs/>
                <w:sz w:val="18"/>
                <w:szCs w:val="18"/>
              </w:rPr>
              <w:t>Exchange rate movements</w:t>
            </w:r>
          </w:p>
        </w:tc>
        <w:tc>
          <w:tcPr>
            <w:tcW w:w="1240" w:type="dxa"/>
            <w:tcBorders>
              <w:top w:val="nil"/>
              <w:left w:val="nil"/>
              <w:bottom w:val="single" w:sz="4" w:space="0" w:color="000000"/>
              <w:right w:val="nil"/>
            </w:tcBorders>
          </w:tcPr>
          <w:p w14:paraId="30B3130D" w14:textId="77777777" w:rsidR="004900F7" w:rsidRPr="00A70D7E" w:rsidRDefault="004900F7" w:rsidP="004900F7">
            <w:pPr>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Cs/>
                <w:sz w:val="18"/>
                <w:szCs w:val="18"/>
              </w:rPr>
            </w:pPr>
          </w:p>
        </w:tc>
        <w:tc>
          <w:tcPr>
            <w:tcW w:w="3795" w:type="dxa"/>
            <w:tcBorders>
              <w:top w:val="nil"/>
              <w:left w:val="nil"/>
              <w:bottom w:val="single" w:sz="4" w:space="0" w:color="000000"/>
              <w:right w:val="nil"/>
            </w:tcBorders>
          </w:tcPr>
          <w:p w14:paraId="60EEB595" w14:textId="38192762" w:rsidR="004900F7" w:rsidRPr="00A70D7E" w:rsidRDefault="00F86BFA" w:rsidP="004900F7">
            <w:pPr>
              <w:tabs>
                <w:tab w:val="left" w:pos="346"/>
                <w:tab w:val="left" w:pos="720"/>
                <w:tab w:val="left" w:pos="1151"/>
                <w:tab w:val="decimal" w:pos="6049"/>
                <w:tab w:val="decimal" w:pos="7342"/>
                <w:tab w:val="decimal" w:pos="8640"/>
                <w:tab w:val="decimal" w:pos="9836"/>
              </w:tabs>
              <w:suppressAutoHyphens/>
              <w:spacing w:after="60"/>
              <w:jc w:val="right"/>
              <w:rPr>
                <w:rFonts w:ascii="Arial" w:hAnsi="Arial" w:cs="Arial"/>
                <w:bCs/>
                <w:sz w:val="18"/>
                <w:szCs w:val="18"/>
              </w:rPr>
            </w:pPr>
            <w:r w:rsidRPr="00A70D7E">
              <w:rPr>
                <w:rFonts w:ascii="Arial" w:hAnsi="Arial" w:cs="Arial"/>
                <w:bCs/>
                <w:sz w:val="18"/>
                <w:szCs w:val="18"/>
              </w:rPr>
              <w:t>(463</w:t>
            </w:r>
            <w:r w:rsidR="00A70D7E" w:rsidRPr="005F6D82">
              <w:rPr>
                <w:rFonts w:ascii="Arial" w:hAnsi="Arial" w:cs="Arial"/>
                <w:bCs/>
                <w:sz w:val="18"/>
                <w:szCs w:val="18"/>
              </w:rPr>
              <w:t>,</w:t>
            </w:r>
            <w:r w:rsidRPr="00A70D7E">
              <w:rPr>
                <w:rFonts w:ascii="Arial" w:hAnsi="Arial" w:cs="Arial"/>
                <w:bCs/>
                <w:sz w:val="18"/>
                <w:szCs w:val="18"/>
              </w:rPr>
              <w:t>880)</w:t>
            </w:r>
          </w:p>
        </w:tc>
      </w:tr>
      <w:tr w:rsidR="00A70D7E" w:rsidRPr="00A70D7E" w14:paraId="24DEFFCB" w14:textId="77777777" w:rsidTr="00691662">
        <w:tc>
          <w:tcPr>
            <w:tcW w:w="4780" w:type="dxa"/>
            <w:tcBorders>
              <w:top w:val="single" w:sz="4" w:space="0" w:color="000000"/>
              <w:left w:val="nil"/>
              <w:bottom w:val="single" w:sz="4" w:space="0" w:color="000000"/>
              <w:right w:val="nil"/>
            </w:tcBorders>
          </w:tcPr>
          <w:p w14:paraId="15AE03FD" w14:textId="35238B23" w:rsidR="00490A81" w:rsidRPr="00A70D7E" w:rsidRDefault="00490A81" w:rsidP="0069166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
                <w:bCs/>
                <w:sz w:val="18"/>
                <w:szCs w:val="18"/>
              </w:rPr>
              <w:t xml:space="preserve">As </w:t>
            </w:r>
            <w:proofErr w:type="gramStart"/>
            <w:r w:rsidRPr="00A70D7E">
              <w:rPr>
                <w:rFonts w:ascii="Arial" w:hAnsi="Arial" w:cs="Arial"/>
                <w:b/>
                <w:bCs/>
                <w:sz w:val="18"/>
                <w:szCs w:val="18"/>
              </w:rPr>
              <w:t>at</w:t>
            </w:r>
            <w:proofErr w:type="gramEnd"/>
            <w:r w:rsidRPr="00A70D7E">
              <w:rPr>
                <w:rFonts w:ascii="Arial" w:hAnsi="Arial" w:cs="Arial"/>
                <w:b/>
                <w:bCs/>
                <w:sz w:val="18"/>
                <w:szCs w:val="18"/>
              </w:rPr>
              <w:t xml:space="preserve"> 31 December 2021</w:t>
            </w:r>
          </w:p>
        </w:tc>
        <w:tc>
          <w:tcPr>
            <w:tcW w:w="1240" w:type="dxa"/>
            <w:tcBorders>
              <w:top w:val="single" w:sz="4" w:space="0" w:color="000000"/>
              <w:left w:val="nil"/>
              <w:bottom w:val="single" w:sz="4" w:space="0" w:color="000000"/>
              <w:right w:val="nil"/>
            </w:tcBorders>
          </w:tcPr>
          <w:p w14:paraId="4FDBB2E3" w14:textId="77777777" w:rsidR="00490A81" w:rsidRPr="00A70D7E" w:rsidRDefault="00490A81" w:rsidP="0069166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single" w:sz="4" w:space="0" w:color="000000"/>
              <w:left w:val="nil"/>
              <w:bottom w:val="single" w:sz="4" w:space="0" w:color="000000"/>
              <w:right w:val="nil"/>
            </w:tcBorders>
          </w:tcPr>
          <w:p w14:paraId="3A6A8E39" w14:textId="2F9D8ABF" w:rsidR="00490A81" w:rsidRPr="00A70D7E" w:rsidRDefault="00A70D7E" w:rsidP="0069166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r w:rsidRPr="005F6D82">
              <w:rPr>
                <w:rFonts w:ascii="Arial" w:hAnsi="Arial" w:cs="Arial"/>
                <w:b/>
                <w:bCs/>
                <w:sz w:val="18"/>
                <w:szCs w:val="18"/>
              </w:rPr>
              <w:t>27,922,589</w:t>
            </w:r>
          </w:p>
        </w:tc>
      </w:tr>
      <w:tr w:rsidR="00A70D7E" w:rsidRPr="00A70D7E" w14:paraId="78A812D2" w14:textId="77777777" w:rsidTr="00691662">
        <w:tc>
          <w:tcPr>
            <w:tcW w:w="4780" w:type="dxa"/>
            <w:tcBorders>
              <w:top w:val="single" w:sz="4" w:space="0" w:color="000000"/>
              <w:left w:val="nil"/>
              <w:bottom w:val="nil"/>
              <w:right w:val="nil"/>
            </w:tcBorders>
          </w:tcPr>
          <w:p w14:paraId="1A07D57B" w14:textId="49E08160"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r w:rsidRPr="00A70D7E">
              <w:rPr>
                <w:rFonts w:ascii="Arial" w:hAnsi="Arial" w:cs="Arial"/>
                <w:bCs/>
                <w:sz w:val="18"/>
                <w:szCs w:val="18"/>
              </w:rPr>
              <w:t xml:space="preserve">Balance as </w:t>
            </w:r>
            <w:proofErr w:type="gramStart"/>
            <w:r w:rsidRPr="00A70D7E">
              <w:rPr>
                <w:rFonts w:ascii="Arial" w:hAnsi="Arial" w:cs="Arial"/>
                <w:bCs/>
                <w:sz w:val="18"/>
                <w:szCs w:val="18"/>
              </w:rPr>
              <w:t>at</w:t>
            </w:r>
            <w:proofErr w:type="gramEnd"/>
            <w:r w:rsidRPr="00A70D7E">
              <w:rPr>
                <w:rFonts w:ascii="Arial" w:hAnsi="Arial" w:cs="Arial"/>
                <w:bCs/>
                <w:sz w:val="18"/>
                <w:szCs w:val="18"/>
              </w:rPr>
              <w:t xml:space="preserve"> 1 January 2022</w:t>
            </w:r>
          </w:p>
        </w:tc>
        <w:tc>
          <w:tcPr>
            <w:tcW w:w="1240" w:type="dxa"/>
            <w:tcBorders>
              <w:top w:val="single" w:sz="4" w:space="0" w:color="000000"/>
              <w:left w:val="nil"/>
              <w:bottom w:val="nil"/>
              <w:right w:val="nil"/>
            </w:tcBorders>
          </w:tcPr>
          <w:p w14:paraId="39959525" w14:textId="77777777"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p>
        </w:tc>
        <w:tc>
          <w:tcPr>
            <w:tcW w:w="3795" w:type="dxa"/>
            <w:tcBorders>
              <w:top w:val="single" w:sz="4" w:space="0" w:color="000000"/>
              <w:left w:val="nil"/>
              <w:bottom w:val="nil"/>
              <w:right w:val="nil"/>
            </w:tcBorders>
          </w:tcPr>
          <w:p w14:paraId="3A876E87" w14:textId="172D03CA" w:rsidR="00367DB2" w:rsidRPr="00A70D7E" w:rsidRDefault="00A70D7E"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sz w:val="18"/>
                <w:szCs w:val="18"/>
              </w:rPr>
            </w:pPr>
            <w:r w:rsidRPr="005F6D82">
              <w:rPr>
                <w:rFonts w:ascii="Arial" w:hAnsi="Arial" w:cs="Arial"/>
                <w:sz w:val="18"/>
                <w:szCs w:val="18"/>
              </w:rPr>
              <w:t>27,922,589</w:t>
            </w:r>
          </w:p>
        </w:tc>
      </w:tr>
      <w:tr w:rsidR="00A70D7E" w:rsidRPr="00A70D7E" w14:paraId="3D4020B8" w14:textId="77777777" w:rsidTr="002C2529">
        <w:tc>
          <w:tcPr>
            <w:tcW w:w="4780" w:type="dxa"/>
            <w:tcBorders>
              <w:top w:val="nil"/>
              <w:left w:val="nil"/>
              <w:bottom w:val="nil"/>
              <w:right w:val="nil"/>
            </w:tcBorders>
          </w:tcPr>
          <w:p w14:paraId="05153C1C" w14:textId="3E5A64DE" w:rsidR="00A70D7E" w:rsidRPr="00A70D7E" w:rsidRDefault="00A70D7E" w:rsidP="00367DB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r w:rsidRPr="005F6D82">
              <w:rPr>
                <w:rFonts w:ascii="Arial" w:hAnsi="Arial" w:cs="Arial"/>
                <w:bCs/>
                <w:sz w:val="18"/>
                <w:szCs w:val="18"/>
              </w:rPr>
              <w:t>Exchange rate movements</w:t>
            </w:r>
          </w:p>
        </w:tc>
        <w:tc>
          <w:tcPr>
            <w:tcW w:w="1240" w:type="dxa"/>
            <w:tcBorders>
              <w:top w:val="nil"/>
              <w:left w:val="nil"/>
              <w:bottom w:val="nil"/>
              <w:right w:val="nil"/>
            </w:tcBorders>
          </w:tcPr>
          <w:p w14:paraId="1AAFA656" w14:textId="77777777" w:rsidR="00A70D7E" w:rsidRPr="00A70D7E" w:rsidRDefault="00A70D7E"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p>
        </w:tc>
        <w:tc>
          <w:tcPr>
            <w:tcW w:w="3795" w:type="dxa"/>
            <w:tcBorders>
              <w:top w:val="nil"/>
              <w:left w:val="nil"/>
              <w:bottom w:val="nil"/>
              <w:right w:val="nil"/>
            </w:tcBorders>
          </w:tcPr>
          <w:p w14:paraId="5F8CF281" w14:textId="1AC1BB42" w:rsidR="00A70D7E" w:rsidRPr="00A70D7E" w:rsidRDefault="00A70D7E"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sz w:val="18"/>
                <w:szCs w:val="18"/>
              </w:rPr>
            </w:pPr>
            <w:r w:rsidRPr="00A70D7E">
              <w:rPr>
                <w:rFonts w:ascii="Arial" w:hAnsi="Arial" w:cs="Arial"/>
                <w:sz w:val="18"/>
                <w:szCs w:val="18"/>
              </w:rPr>
              <w:t>558,362</w:t>
            </w:r>
          </w:p>
        </w:tc>
      </w:tr>
      <w:tr w:rsidR="00A70D7E" w:rsidRPr="00A70D7E" w14:paraId="79BF4C51" w14:textId="77777777" w:rsidTr="002C2529">
        <w:tc>
          <w:tcPr>
            <w:tcW w:w="4780" w:type="dxa"/>
            <w:tcBorders>
              <w:top w:val="nil"/>
              <w:left w:val="nil"/>
              <w:bottom w:val="nil"/>
              <w:right w:val="nil"/>
            </w:tcBorders>
          </w:tcPr>
          <w:p w14:paraId="62E70410" w14:textId="77777777"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r w:rsidRPr="00A70D7E">
              <w:rPr>
                <w:rFonts w:ascii="Arial" w:hAnsi="Arial" w:cs="Arial"/>
                <w:bCs/>
                <w:sz w:val="18"/>
                <w:szCs w:val="18"/>
              </w:rPr>
              <w:t>Additions</w:t>
            </w:r>
          </w:p>
        </w:tc>
        <w:tc>
          <w:tcPr>
            <w:tcW w:w="1240" w:type="dxa"/>
            <w:tcBorders>
              <w:top w:val="nil"/>
              <w:left w:val="nil"/>
              <w:bottom w:val="nil"/>
              <w:right w:val="nil"/>
            </w:tcBorders>
          </w:tcPr>
          <w:p w14:paraId="5393CABB" w14:textId="77777777"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p>
        </w:tc>
        <w:tc>
          <w:tcPr>
            <w:tcW w:w="3795" w:type="dxa"/>
            <w:tcBorders>
              <w:top w:val="nil"/>
              <w:left w:val="nil"/>
              <w:bottom w:val="nil"/>
              <w:right w:val="nil"/>
            </w:tcBorders>
          </w:tcPr>
          <w:p w14:paraId="67D53781" w14:textId="51BDCBBE" w:rsidR="00DE44AE" w:rsidRPr="00A70D7E" w:rsidRDefault="00367DB2" w:rsidP="00DE44AE">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sz w:val="18"/>
                <w:szCs w:val="18"/>
              </w:rPr>
            </w:pPr>
            <w:r w:rsidRPr="00A70D7E">
              <w:rPr>
                <w:rFonts w:ascii="Arial" w:hAnsi="Arial" w:cs="Arial"/>
                <w:sz w:val="18"/>
                <w:szCs w:val="18"/>
              </w:rPr>
              <w:t>2,</w:t>
            </w:r>
            <w:r w:rsidR="00DE44AE">
              <w:rPr>
                <w:rFonts w:ascii="Arial" w:hAnsi="Arial" w:cs="Arial"/>
                <w:sz w:val="18"/>
                <w:szCs w:val="18"/>
              </w:rPr>
              <w:t>075,719</w:t>
            </w:r>
          </w:p>
        </w:tc>
      </w:tr>
      <w:tr w:rsidR="00A70D7E" w:rsidRPr="00A70D7E" w14:paraId="0AF708BA" w14:textId="77777777" w:rsidTr="002C2529">
        <w:tc>
          <w:tcPr>
            <w:tcW w:w="4780" w:type="dxa"/>
            <w:tcBorders>
              <w:top w:val="nil"/>
              <w:left w:val="nil"/>
              <w:bottom w:val="nil"/>
              <w:right w:val="nil"/>
            </w:tcBorders>
          </w:tcPr>
          <w:p w14:paraId="4E98CD7D" w14:textId="6AA64A86" w:rsidR="002C2529" w:rsidRPr="00A70D7E" w:rsidRDefault="0071060B" w:rsidP="00367DB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r w:rsidRPr="0051151D">
              <w:rPr>
                <w:rFonts w:ascii="Arial" w:hAnsi="Arial" w:cs="Arial"/>
                <w:bCs/>
                <w:sz w:val="18"/>
                <w:szCs w:val="18"/>
              </w:rPr>
              <w:t>Licenses transferred to JV at NBV</w:t>
            </w:r>
          </w:p>
        </w:tc>
        <w:tc>
          <w:tcPr>
            <w:tcW w:w="1240" w:type="dxa"/>
            <w:tcBorders>
              <w:top w:val="nil"/>
              <w:left w:val="nil"/>
              <w:bottom w:val="nil"/>
              <w:right w:val="nil"/>
            </w:tcBorders>
          </w:tcPr>
          <w:p w14:paraId="5710197D" w14:textId="77777777" w:rsidR="002C2529" w:rsidRPr="00A70D7E" w:rsidRDefault="002C2529" w:rsidP="005F6D8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Cs/>
                <w:sz w:val="18"/>
                <w:szCs w:val="18"/>
              </w:rPr>
            </w:pPr>
          </w:p>
        </w:tc>
        <w:tc>
          <w:tcPr>
            <w:tcW w:w="3795" w:type="dxa"/>
            <w:tcBorders>
              <w:top w:val="nil"/>
              <w:left w:val="nil"/>
              <w:bottom w:val="nil"/>
              <w:right w:val="nil"/>
            </w:tcBorders>
          </w:tcPr>
          <w:p w14:paraId="1FAEAB86" w14:textId="7FA23110" w:rsidR="002C2529" w:rsidRPr="00A70D7E" w:rsidRDefault="002C2529" w:rsidP="002C2529">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Cs/>
                <w:sz w:val="18"/>
                <w:szCs w:val="18"/>
              </w:rPr>
            </w:pPr>
            <w:r w:rsidRPr="00A70D7E">
              <w:rPr>
                <w:rFonts w:ascii="Arial" w:hAnsi="Arial" w:cs="Arial"/>
                <w:bCs/>
                <w:sz w:val="18"/>
                <w:szCs w:val="18"/>
              </w:rPr>
              <w:t>(2,085,147)</w:t>
            </w:r>
          </w:p>
        </w:tc>
      </w:tr>
      <w:tr w:rsidR="00A70D7E" w:rsidRPr="00A70D7E" w14:paraId="0DAE953A" w14:textId="77777777" w:rsidTr="00691662">
        <w:tc>
          <w:tcPr>
            <w:tcW w:w="4780" w:type="dxa"/>
            <w:tcBorders>
              <w:top w:val="single" w:sz="4" w:space="0" w:color="000000"/>
              <w:left w:val="nil"/>
              <w:bottom w:val="single" w:sz="4" w:space="0" w:color="000000"/>
              <w:right w:val="nil"/>
            </w:tcBorders>
          </w:tcPr>
          <w:p w14:paraId="2ADA7F6C" w14:textId="44D01E5C"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both"/>
              <w:rPr>
                <w:rFonts w:ascii="Arial" w:hAnsi="Arial" w:cs="Arial"/>
                <w:b/>
                <w:bCs/>
                <w:sz w:val="18"/>
                <w:szCs w:val="18"/>
              </w:rPr>
            </w:pPr>
            <w:r w:rsidRPr="00A70D7E">
              <w:rPr>
                <w:rFonts w:ascii="Arial" w:hAnsi="Arial" w:cs="Arial"/>
                <w:b/>
                <w:bCs/>
                <w:sz w:val="18"/>
                <w:szCs w:val="18"/>
              </w:rPr>
              <w:t xml:space="preserve">As </w:t>
            </w:r>
            <w:proofErr w:type="gramStart"/>
            <w:r w:rsidRPr="00A70D7E">
              <w:rPr>
                <w:rFonts w:ascii="Arial" w:hAnsi="Arial" w:cs="Arial"/>
                <w:b/>
                <w:bCs/>
                <w:sz w:val="18"/>
                <w:szCs w:val="18"/>
              </w:rPr>
              <w:t>at</w:t>
            </w:r>
            <w:proofErr w:type="gramEnd"/>
            <w:r w:rsidRPr="00A70D7E">
              <w:rPr>
                <w:rFonts w:ascii="Arial" w:hAnsi="Arial" w:cs="Arial"/>
                <w:b/>
                <w:bCs/>
                <w:sz w:val="18"/>
                <w:szCs w:val="18"/>
              </w:rPr>
              <w:t xml:space="preserve"> 30 June 2022</w:t>
            </w:r>
          </w:p>
        </w:tc>
        <w:tc>
          <w:tcPr>
            <w:tcW w:w="1240" w:type="dxa"/>
            <w:tcBorders>
              <w:top w:val="single" w:sz="4" w:space="0" w:color="000000"/>
              <w:left w:val="nil"/>
              <w:bottom w:val="single" w:sz="4" w:space="0" w:color="000000"/>
              <w:right w:val="nil"/>
            </w:tcBorders>
          </w:tcPr>
          <w:p w14:paraId="1B57222F" w14:textId="77777777" w:rsidR="00367DB2" w:rsidRPr="00A70D7E" w:rsidRDefault="00367DB2"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bCs/>
                <w:sz w:val="18"/>
                <w:szCs w:val="18"/>
              </w:rPr>
            </w:pPr>
          </w:p>
        </w:tc>
        <w:tc>
          <w:tcPr>
            <w:tcW w:w="3795" w:type="dxa"/>
            <w:tcBorders>
              <w:top w:val="single" w:sz="4" w:space="0" w:color="000000"/>
              <w:left w:val="nil"/>
              <w:bottom w:val="single" w:sz="4" w:space="0" w:color="000000"/>
              <w:right w:val="nil"/>
            </w:tcBorders>
          </w:tcPr>
          <w:p w14:paraId="78C737A4" w14:textId="5E9BED4F" w:rsidR="00367DB2" w:rsidRPr="00A70D7E" w:rsidRDefault="00CA5BEE" w:rsidP="00367DB2">
            <w:pPr>
              <w:tabs>
                <w:tab w:val="left" w:pos="346"/>
                <w:tab w:val="left" w:pos="720"/>
                <w:tab w:val="left" w:pos="1151"/>
                <w:tab w:val="decimal" w:pos="6049"/>
                <w:tab w:val="decimal" w:pos="7342"/>
                <w:tab w:val="decimal" w:pos="8640"/>
                <w:tab w:val="decimal" w:pos="9836"/>
              </w:tabs>
              <w:suppressAutoHyphens/>
              <w:spacing w:before="60" w:after="60"/>
              <w:jc w:val="right"/>
              <w:rPr>
                <w:rFonts w:ascii="Arial" w:hAnsi="Arial" w:cs="Arial"/>
                <w:b/>
                <w:sz w:val="18"/>
                <w:szCs w:val="18"/>
              </w:rPr>
            </w:pPr>
            <w:r w:rsidRPr="00CF1DC5">
              <w:rPr>
                <w:rFonts w:ascii="Arial" w:hAnsi="Arial" w:cs="Arial"/>
                <w:b/>
                <w:color w:val="000000" w:themeColor="text1"/>
                <w:sz w:val="18"/>
                <w:szCs w:val="18"/>
              </w:rPr>
              <w:t>28,</w:t>
            </w:r>
            <w:r w:rsidR="006F21DC" w:rsidRPr="00CF1DC5">
              <w:rPr>
                <w:rFonts w:ascii="Arial" w:hAnsi="Arial" w:cs="Arial"/>
                <w:b/>
                <w:color w:val="000000" w:themeColor="text1"/>
                <w:sz w:val="18"/>
                <w:szCs w:val="18"/>
              </w:rPr>
              <w:t>471,523</w:t>
            </w:r>
          </w:p>
        </w:tc>
      </w:tr>
    </w:tbl>
    <w:p w14:paraId="66B779E0" w14:textId="77777777" w:rsidR="008B5071" w:rsidRDefault="008B5071" w:rsidP="00CD7503">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p>
    <w:p w14:paraId="27CB7426" w14:textId="03632F0D" w:rsidR="00942934" w:rsidRDefault="00942934" w:rsidP="00CD7503">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p>
    <w:p w14:paraId="23CB82CB" w14:textId="51656A9B" w:rsidR="00EC2BA1" w:rsidRDefault="00EC2BA1" w:rsidP="00CD7503">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p>
    <w:p w14:paraId="1C09FFAA" w14:textId="3E9EA978" w:rsidR="00EC2BA1" w:rsidRPr="000A4D07" w:rsidRDefault="00567E7A">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r>
        <w:rPr>
          <w:rFonts w:ascii="Arial" w:hAnsi="Arial" w:cs="Arial"/>
          <w:b/>
          <w:bCs/>
          <w:sz w:val="20"/>
        </w:rPr>
        <w:t>7</w:t>
      </w:r>
      <w:r w:rsidR="00EC2BA1">
        <w:rPr>
          <w:rFonts w:ascii="Arial" w:hAnsi="Arial" w:cs="Arial"/>
          <w:b/>
          <w:bCs/>
          <w:sz w:val="20"/>
        </w:rPr>
        <w:t xml:space="preserve">. </w:t>
      </w:r>
      <w:r w:rsidR="00EC2BA1" w:rsidRPr="000A4D07">
        <w:rPr>
          <w:rFonts w:ascii="Arial" w:hAnsi="Arial" w:cs="Arial"/>
          <w:b/>
          <w:bCs/>
          <w:sz w:val="20"/>
        </w:rPr>
        <w:t>Investments in Joint Venture</w:t>
      </w:r>
    </w:p>
    <w:p w14:paraId="2CBD0240" w14:textId="084A45B0" w:rsidR="008670B4" w:rsidRPr="000A4D07" w:rsidRDefault="008670B4">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b/>
          <w:bCs/>
          <w:sz w:val="20"/>
        </w:rPr>
      </w:pPr>
    </w:p>
    <w:p w14:paraId="24603101" w14:textId="593A9808" w:rsidR="008670B4" w:rsidRPr="000A4D07" w:rsidRDefault="00895D4A" w:rsidP="00CF1DC5">
      <w:pPr>
        <w:keepNext/>
        <w:tabs>
          <w:tab w:val="left" w:pos="346"/>
          <w:tab w:val="left" w:pos="720"/>
          <w:tab w:val="left" w:pos="1151"/>
          <w:tab w:val="decimal" w:pos="6049"/>
          <w:tab w:val="decimal" w:pos="7342"/>
          <w:tab w:val="decimal" w:pos="8640"/>
          <w:tab w:val="decimal" w:pos="9836"/>
        </w:tabs>
        <w:suppressAutoHyphens/>
        <w:jc w:val="both"/>
        <w:outlineLvl w:val="0"/>
        <w:rPr>
          <w:rFonts w:ascii="Arial" w:hAnsi="Arial" w:cs="Arial"/>
          <w:sz w:val="18"/>
          <w:szCs w:val="18"/>
          <w:lang w:val="en-US"/>
        </w:rPr>
      </w:pPr>
      <w:r w:rsidRPr="000A4D07">
        <w:rPr>
          <w:rFonts w:ascii="Arial" w:hAnsi="Arial" w:cs="Arial"/>
          <w:sz w:val="18"/>
          <w:szCs w:val="18"/>
          <w:lang w:val="en-US"/>
        </w:rPr>
        <w:t xml:space="preserve">During </w:t>
      </w:r>
      <w:r w:rsidR="00BA4C18" w:rsidRPr="000A4D07">
        <w:rPr>
          <w:rFonts w:ascii="Arial" w:hAnsi="Arial" w:cs="Arial"/>
          <w:sz w:val="18"/>
          <w:szCs w:val="18"/>
          <w:lang w:val="en-US"/>
        </w:rPr>
        <w:t>the 2021 financial year</w:t>
      </w:r>
      <w:r w:rsidRPr="000A4D07">
        <w:rPr>
          <w:rFonts w:ascii="Arial" w:hAnsi="Arial" w:cs="Arial"/>
          <w:sz w:val="18"/>
          <w:szCs w:val="18"/>
          <w:lang w:val="en-US"/>
        </w:rPr>
        <w:t xml:space="preserve">, </w:t>
      </w:r>
      <w:proofErr w:type="spellStart"/>
      <w:r w:rsidRPr="000A4D07">
        <w:rPr>
          <w:rFonts w:ascii="Arial" w:hAnsi="Arial" w:cs="Arial"/>
          <w:sz w:val="18"/>
          <w:szCs w:val="18"/>
          <w:lang w:val="en-US"/>
        </w:rPr>
        <w:t>Disko</w:t>
      </w:r>
      <w:proofErr w:type="spellEnd"/>
      <w:r w:rsidRPr="000A4D07">
        <w:rPr>
          <w:rFonts w:ascii="Arial" w:hAnsi="Arial" w:cs="Arial"/>
          <w:sz w:val="18"/>
          <w:szCs w:val="18"/>
          <w:lang w:val="en-US"/>
        </w:rPr>
        <w:t xml:space="preserve"> </w:t>
      </w:r>
      <w:r w:rsidR="00BA4C18" w:rsidRPr="000A4D07">
        <w:rPr>
          <w:rFonts w:ascii="Arial" w:hAnsi="Arial" w:cs="Arial"/>
          <w:sz w:val="18"/>
          <w:szCs w:val="18"/>
          <w:lang w:val="en-US"/>
        </w:rPr>
        <w:t>Exploration</w:t>
      </w:r>
      <w:r w:rsidRPr="000A4D07">
        <w:rPr>
          <w:rFonts w:ascii="Arial" w:hAnsi="Arial" w:cs="Arial"/>
          <w:sz w:val="18"/>
          <w:szCs w:val="18"/>
          <w:lang w:val="en-US"/>
        </w:rPr>
        <w:t xml:space="preserve"> Ltd entered into a joint venture agreement with Kobold Metals</w:t>
      </w:r>
      <w:r w:rsidR="00E74EC5" w:rsidRPr="000A4D07">
        <w:rPr>
          <w:rFonts w:ascii="Arial" w:hAnsi="Arial" w:cs="Arial"/>
          <w:sz w:val="18"/>
          <w:szCs w:val="18"/>
          <w:lang w:val="en-US"/>
        </w:rPr>
        <w:t xml:space="preserve"> to drill in Greenland for critical materials used in electric vehicles</w:t>
      </w:r>
      <w:r w:rsidRPr="000A4D07">
        <w:rPr>
          <w:rFonts w:ascii="Arial" w:hAnsi="Arial" w:cs="Arial"/>
          <w:sz w:val="18"/>
          <w:szCs w:val="18"/>
          <w:lang w:val="en-US"/>
        </w:rPr>
        <w:t xml:space="preserve">. </w:t>
      </w:r>
      <w:r w:rsidR="008730DE" w:rsidRPr="000A4D07">
        <w:rPr>
          <w:rFonts w:ascii="Arial" w:hAnsi="Arial" w:cs="Arial"/>
          <w:sz w:val="18"/>
          <w:szCs w:val="18"/>
          <w:lang w:val="en-US"/>
        </w:rPr>
        <w:t xml:space="preserve">On 1 February 2022, </w:t>
      </w:r>
      <w:r w:rsidRPr="000A4D07">
        <w:rPr>
          <w:rFonts w:ascii="Arial" w:hAnsi="Arial" w:cs="Arial"/>
          <w:sz w:val="18"/>
          <w:szCs w:val="18"/>
          <w:lang w:val="en-US"/>
        </w:rPr>
        <w:t xml:space="preserve">the </w:t>
      </w:r>
      <w:r w:rsidR="008730DE" w:rsidRPr="000A4D07">
        <w:rPr>
          <w:rFonts w:ascii="Arial" w:hAnsi="Arial" w:cs="Arial"/>
          <w:sz w:val="18"/>
          <w:szCs w:val="18"/>
          <w:lang w:val="en-US"/>
        </w:rPr>
        <w:t>joint venture company</w:t>
      </w:r>
      <w:r w:rsidRPr="000A4D07">
        <w:rPr>
          <w:rFonts w:ascii="Arial" w:hAnsi="Arial" w:cs="Arial"/>
          <w:sz w:val="18"/>
          <w:szCs w:val="18"/>
          <w:lang w:val="en-US"/>
        </w:rPr>
        <w:t>,</w:t>
      </w:r>
      <w:r w:rsidR="008730DE" w:rsidRPr="000A4D07">
        <w:rPr>
          <w:rFonts w:ascii="Arial" w:hAnsi="Arial" w:cs="Arial"/>
          <w:sz w:val="18"/>
          <w:szCs w:val="18"/>
          <w:lang w:val="en-US"/>
        </w:rPr>
        <w:t xml:space="preserve"> </w:t>
      </w:r>
      <w:proofErr w:type="spellStart"/>
      <w:r w:rsidRPr="000A4D07">
        <w:rPr>
          <w:rFonts w:ascii="Arial" w:hAnsi="Arial" w:cs="Arial"/>
          <w:sz w:val="18"/>
          <w:szCs w:val="18"/>
          <w:lang w:val="en-US"/>
        </w:rPr>
        <w:t>Nikkeli</w:t>
      </w:r>
      <w:proofErr w:type="spellEnd"/>
      <w:r w:rsidRPr="000A4D07">
        <w:rPr>
          <w:rFonts w:ascii="Arial" w:hAnsi="Arial" w:cs="Arial"/>
          <w:sz w:val="18"/>
          <w:szCs w:val="18"/>
          <w:lang w:val="en-US"/>
        </w:rPr>
        <w:t xml:space="preserve"> Greenland AS (“</w:t>
      </w:r>
      <w:proofErr w:type="spellStart"/>
      <w:r w:rsidRPr="000A4D07">
        <w:rPr>
          <w:rFonts w:ascii="Arial" w:hAnsi="Arial" w:cs="Arial"/>
          <w:sz w:val="18"/>
          <w:szCs w:val="18"/>
          <w:lang w:val="en-US"/>
        </w:rPr>
        <w:t>Nikelli</w:t>
      </w:r>
      <w:proofErr w:type="spellEnd"/>
      <w:r w:rsidRPr="000A4D07">
        <w:rPr>
          <w:rFonts w:ascii="Arial" w:hAnsi="Arial" w:cs="Arial"/>
          <w:sz w:val="18"/>
          <w:szCs w:val="18"/>
          <w:lang w:val="en-US"/>
        </w:rPr>
        <w:t>”), was incorporated</w:t>
      </w:r>
      <w:r w:rsidR="00BA4C18" w:rsidRPr="000A4D07">
        <w:rPr>
          <w:rFonts w:ascii="Arial" w:hAnsi="Arial" w:cs="Arial"/>
          <w:sz w:val="18"/>
          <w:szCs w:val="18"/>
          <w:lang w:val="en-US"/>
        </w:rPr>
        <w:t xml:space="preserve"> and the specific </w:t>
      </w:r>
      <w:proofErr w:type="spellStart"/>
      <w:proofErr w:type="gramStart"/>
      <w:r w:rsidR="00BA4C18" w:rsidRPr="000A4D07">
        <w:rPr>
          <w:rFonts w:ascii="Arial" w:hAnsi="Arial" w:cs="Arial"/>
          <w:sz w:val="18"/>
          <w:szCs w:val="18"/>
          <w:lang w:val="en-US"/>
        </w:rPr>
        <w:t>licence’s</w:t>
      </w:r>
      <w:proofErr w:type="spellEnd"/>
      <w:proofErr w:type="gramEnd"/>
      <w:r w:rsidR="00BA4C18" w:rsidRPr="000A4D07">
        <w:rPr>
          <w:rFonts w:ascii="Arial" w:hAnsi="Arial" w:cs="Arial"/>
          <w:sz w:val="18"/>
          <w:szCs w:val="18"/>
          <w:lang w:val="en-US"/>
        </w:rPr>
        <w:t xml:space="preserve"> were transferred to </w:t>
      </w:r>
      <w:proofErr w:type="spellStart"/>
      <w:r w:rsidR="00BA4C18" w:rsidRPr="000A4D07">
        <w:rPr>
          <w:rFonts w:ascii="Arial" w:hAnsi="Arial" w:cs="Arial"/>
          <w:sz w:val="18"/>
          <w:szCs w:val="18"/>
          <w:lang w:val="en-US"/>
        </w:rPr>
        <w:t>Nikkeli</w:t>
      </w:r>
      <w:proofErr w:type="spellEnd"/>
      <w:r w:rsidRPr="000A4D07">
        <w:rPr>
          <w:rFonts w:ascii="Arial" w:hAnsi="Arial" w:cs="Arial"/>
          <w:sz w:val="18"/>
          <w:szCs w:val="18"/>
          <w:lang w:val="en-US"/>
        </w:rPr>
        <w:t xml:space="preserve">. </w:t>
      </w:r>
    </w:p>
    <w:tbl>
      <w:tblPr>
        <w:tblW w:w="9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57"/>
        <w:gridCol w:w="1902"/>
      </w:tblGrid>
      <w:tr w:rsidR="000A4D07" w:rsidRPr="000A4D07" w14:paraId="16FC5C9D" w14:textId="648253DF" w:rsidTr="0051151D">
        <w:trPr>
          <w:trHeight w:val="701"/>
        </w:trPr>
        <w:tc>
          <w:tcPr>
            <w:tcW w:w="7957" w:type="dxa"/>
            <w:tcBorders>
              <w:top w:val="nil"/>
              <w:left w:val="nil"/>
              <w:bottom w:val="nil"/>
              <w:right w:val="nil"/>
            </w:tcBorders>
            <w:shd w:val="clear" w:color="auto" w:fill="auto"/>
            <w:vAlign w:val="bottom"/>
            <w:hideMark/>
          </w:tcPr>
          <w:p w14:paraId="46A1D807" w14:textId="1325E483" w:rsidR="000A4D07" w:rsidRPr="000A4D07" w:rsidRDefault="000A4D07" w:rsidP="00673C68">
            <w:pPr>
              <w:keepNext/>
              <w:tabs>
                <w:tab w:val="left" w:pos="346"/>
                <w:tab w:val="left" w:pos="720"/>
                <w:tab w:val="left" w:pos="1152"/>
                <w:tab w:val="decimal" w:pos="6048"/>
                <w:tab w:val="decimal" w:pos="7344"/>
                <w:tab w:val="decimal" w:pos="8640"/>
                <w:tab w:val="decimal" w:pos="9835"/>
              </w:tabs>
              <w:suppressAutoHyphens/>
              <w:rPr>
                <w:rFonts w:ascii="Arial" w:hAnsi="Arial" w:cs="Arial"/>
                <w:b/>
                <w:color w:val="000000" w:themeColor="text1"/>
                <w:sz w:val="18"/>
                <w:szCs w:val="18"/>
              </w:rPr>
            </w:pPr>
          </w:p>
        </w:tc>
        <w:tc>
          <w:tcPr>
            <w:tcW w:w="1902" w:type="dxa"/>
            <w:tcBorders>
              <w:top w:val="nil"/>
              <w:left w:val="nil"/>
              <w:bottom w:val="nil"/>
              <w:right w:val="nil"/>
            </w:tcBorders>
            <w:shd w:val="clear" w:color="auto" w:fill="auto"/>
            <w:hideMark/>
          </w:tcPr>
          <w:p w14:paraId="143ED9D2" w14:textId="77777777" w:rsidR="000A4D07" w:rsidRPr="000A4D07" w:rsidRDefault="000A4D07" w:rsidP="00673C68">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0A4D07">
              <w:rPr>
                <w:rFonts w:ascii="Arial" w:hAnsi="Arial" w:cs="Arial"/>
                <w:b/>
                <w:sz w:val="18"/>
                <w:szCs w:val="18"/>
              </w:rPr>
              <w:t>6 months to 30 June 2022 Unaudited</w:t>
            </w:r>
          </w:p>
          <w:p w14:paraId="49E95205" w14:textId="13CDAB43" w:rsidR="000A4D07" w:rsidRPr="000A4D07" w:rsidRDefault="000A4D07" w:rsidP="00673C68">
            <w:pPr>
              <w:keepNext/>
              <w:tabs>
                <w:tab w:val="left" w:pos="346"/>
                <w:tab w:val="left" w:pos="720"/>
                <w:tab w:val="left" w:pos="1152"/>
                <w:tab w:val="decimal" w:pos="6048"/>
                <w:tab w:val="decimal" w:pos="7344"/>
                <w:tab w:val="decimal" w:pos="8640"/>
                <w:tab w:val="decimal" w:pos="9835"/>
              </w:tabs>
              <w:suppressAutoHyphens/>
              <w:jc w:val="right"/>
              <w:rPr>
                <w:rFonts w:ascii="Arial" w:hAnsi="Arial" w:cs="Arial"/>
                <w:b/>
                <w:bCs/>
                <w:color w:val="000000" w:themeColor="text1"/>
                <w:sz w:val="18"/>
                <w:szCs w:val="18"/>
              </w:rPr>
            </w:pPr>
            <w:r w:rsidRPr="000A4D07">
              <w:rPr>
                <w:rFonts w:ascii="Arial" w:hAnsi="Arial" w:cs="Arial"/>
                <w:b/>
                <w:sz w:val="18"/>
                <w:szCs w:val="18"/>
              </w:rPr>
              <w:t>£</w:t>
            </w:r>
          </w:p>
        </w:tc>
      </w:tr>
      <w:tr w:rsidR="000A4D07" w:rsidRPr="000A4D07" w14:paraId="060F68C4" w14:textId="1263DE9D" w:rsidTr="0051151D">
        <w:trPr>
          <w:trHeight w:val="229"/>
        </w:trPr>
        <w:tc>
          <w:tcPr>
            <w:tcW w:w="7957" w:type="dxa"/>
            <w:tcBorders>
              <w:top w:val="single" w:sz="4" w:space="0" w:color="auto"/>
              <w:left w:val="nil"/>
              <w:bottom w:val="nil"/>
              <w:right w:val="nil"/>
            </w:tcBorders>
            <w:shd w:val="clear" w:color="auto" w:fill="auto"/>
            <w:vAlign w:val="bottom"/>
            <w:hideMark/>
          </w:tcPr>
          <w:p w14:paraId="4BA3B36A" w14:textId="4DFA2FC8" w:rsidR="000A4D07" w:rsidRPr="0051151D" w:rsidRDefault="000A4D07" w:rsidP="00CF1DC5">
            <w:pPr>
              <w:pStyle w:val="paragraph"/>
              <w:spacing w:before="60" w:beforeAutospacing="0" w:after="60" w:afterAutospacing="0"/>
              <w:textAlignment w:val="baseline"/>
              <w:rPr>
                <w:rFonts w:ascii="Arial" w:hAnsi="Arial" w:cs="Arial"/>
                <w:color w:val="000000" w:themeColor="text1"/>
                <w:sz w:val="18"/>
                <w:szCs w:val="18"/>
              </w:rPr>
            </w:pPr>
            <w:r>
              <w:rPr>
                <w:rStyle w:val="normaltextrun"/>
                <w:rFonts w:ascii="Arial" w:hAnsi="Arial" w:cs="Arial"/>
                <w:color w:val="000000" w:themeColor="text1"/>
                <w:sz w:val="18"/>
                <w:szCs w:val="18"/>
              </w:rPr>
              <w:t xml:space="preserve">Interest in </w:t>
            </w:r>
            <w:r w:rsidRPr="000A4D07">
              <w:rPr>
                <w:rFonts w:ascii="Arial" w:hAnsi="Arial" w:cs="Arial"/>
                <w:sz w:val="18"/>
                <w:szCs w:val="18"/>
              </w:rPr>
              <w:t>joint venture</w:t>
            </w:r>
          </w:p>
        </w:tc>
        <w:tc>
          <w:tcPr>
            <w:tcW w:w="1902" w:type="dxa"/>
            <w:tcBorders>
              <w:top w:val="single" w:sz="4" w:space="0" w:color="auto"/>
              <w:left w:val="nil"/>
              <w:bottom w:val="nil"/>
              <w:right w:val="nil"/>
            </w:tcBorders>
            <w:shd w:val="clear" w:color="auto" w:fill="auto"/>
            <w:vAlign w:val="bottom"/>
            <w:hideMark/>
          </w:tcPr>
          <w:p w14:paraId="6226D03C" w14:textId="526F0EA7" w:rsidR="000A4D07" w:rsidRPr="0051151D" w:rsidRDefault="000A4D07" w:rsidP="00CF1DC5">
            <w:pPr>
              <w:pStyle w:val="paragraph"/>
              <w:spacing w:before="60" w:beforeAutospacing="0" w:after="60" w:afterAutospacing="0"/>
              <w:jc w:val="right"/>
              <w:textAlignment w:val="baseline"/>
              <w:rPr>
                <w:rFonts w:ascii="Arial" w:hAnsi="Arial" w:cs="Arial"/>
                <w:sz w:val="18"/>
                <w:szCs w:val="18"/>
              </w:rPr>
            </w:pPr>
            <w:r w:rsidRPr="0051151D">
              <w:rPr>
                <w:rFonts w:ascii="Arial" w:hAnsi="Arial" w:cs="Arial"/>
                <w:sz w:val="18"/>
                <w:szCs w:val="18"/>
              </w:rPr>
              <w:t>2,085,147</w:t>
            </w:r>
          </w:p>
        </w:tc>
      </w:tr>
      <w:tr w:rsidR="000A4D07" w:rsidRPr="000A4D07" w14:paraId="4BF82653" w14:textId="245D3CF7" w:rsidTr="0051151D">
        <w:trPr>
          <w:trHeight w:val="229"/>
        </w:trPr>
        <w:tc>
          <w:tcPr>
            <w:tcW w:w="7957" w:type="dxa"/>
            <w:tcBorders>
              <w:top w:val="nil"/>
              <w:left w:val="nil"/>
              <w:bottom w:val="nil"/>
              <w:right w:val="nil"/>
            </w:tcBorders>
            <w:shd w:val="clear" w:color="auto" w:fill="auto"/>
            <w:vAlign w:val="bottom"/>
          </w:tcPr>
          <w:p w14:paraId="30E8AA6D" w14:textId="0BA9889F" w:rsidR="000A4D07" w:rsidRPr="000A4D07" w:rsidRDefault="000A4D07" w:rsidP="00CF1DC5">
            <w:pPr>
              <w:pStyle w:val="paragraph"/>
              <w:spacing w:before="60" w:beforeAutospacing="0" w:after="60" w:afterAutospacing="0"/>
              <w:textAlignment w:val="baseline"/>
              <w:rPr>
                <w:rStyle w:val="normaltextrun"/>
                <w:rFonts w:ascii="Arial" w:hAnsi="Arial" w:cs="Arial"/>
                <w:color w:val="000000" w:themeColor="text1"/>
                <w:sz w:val="18"/>
                <w:szCs w:val="18"/>
              </w:rPr>
            </w:pPr>
            <w:r w:rsidRPr="000A4D07">
              <w:rPr>
                <w:rFonts w:ascii="Arial" w:hAnsi="Arial" w:cs="Arial"/>
                <w:sz w:val="18"/>
                <w:szCs w:val="18"/>
              </w:rPr>
              <w:t>Share of loss in joint venture</w:t>
            </w:r>
          </w:p>
        </w:tc>
        <w:tc>
          <w:tcPr>
            <w:tcW w:w="1902" w:type="dxa"/>
            <w:tcBorders>
              <w:top w:val="nil"/>
              <w:left w:val="nil"/>
              <w:bottom w:val="single" w:sz="6" w:space="0" w:color="auto"/>
              <w:right w:val="nil"/>
            </w:tcBorders>
            <w:shd w:val="clear" w:color="auto" w:fill="auto"/>
            <w:vAlign w:val="bottom"/>
          </w:tcPr>
          <w:p w14:paraId="68DEF209" w14:textId="3F62CE22" w:rsidR="000A4D07" w:rsidRPr="0051151D" w:rsidRDefault="000A4D07" w:rsidP="00CF1DC5">
            <w:pPr>
              <w:pStyle w:val="paragraph"/>
              <w:spacing w:before="60" w:beforeAutospacing="0" w:after="60" w:afterAutospacing="0"/>
              <w:jc w:val="right"/>
              <w:textAlignment w:val="baseline"/>
            </w:pPr>
            <w:r w:rsidRPr="000A4D07">
              <w:rPr>
                <w:rFonts w:ascii="Arial" w:hAnsi="Arial" w:cs="Arial"/>
                <w:sz w:val="18"/>
                <w:szCs w:val="18"/>
              </w:rPr>
              <w:t>(1,565,378)</w:t>
            </w:r>
            <w:r w:rsidRPr="000A4D07" w:rsidDel="002D2FE1">
              <w:rPr>
                <w:rFonts w:ascii="Arial" w:hAnsi="Arial" w:cs="Arial"/>
                <w:sz w:val="18"/>
                <w:szCs w:val="18"/>
              </w:rPr>
              <w:t xml:space="preserve"> </w:t>
            </w:r>
          </w:p>
        </w:tc>
      </w:tr>
      <w:tr w:rsidR="000A4D07" w:rsidRPr="005A77B2" w14:paraId="3E434CD3" w14:textId="041076F5" w:rsidTr="0051151D">
        <w:trPr>
          <w:trHeight w:val="229"/>
        </w:trPr>
        <w:tc>
          <w:tcPr>
            <w:tcW w:w="7957" w:type="dxa"/>
            <w:tcBorders>
              <w:top w:val="nil"/>
              <w:left w:val="nil"/>
              <w:bottom w:val="nil"/>
              <w:right w:val="nil"/>
            </w:tcBorders>
            <w:shd w:val="clear" w:color="auto" w:fill="auto"/>
            <w:vAlign w:val="bottom"/>
            <w:hideMark/>
          </w:tcPr>
          <w:p w14:paraId="1832C7F3" w14:textId="77777777" w:rsidR="000A4D07" w:rsidRPr="0051151D" w:rsidRDefault="000A4D07" w:rsidP="00CF1DC5">
            <w:pPr>
              <w:pStyle w:val="paragraph"/>
              <w:spacing w:before="60" w:beforeAutospacing="0" w:after="60" w:afterAutospacing="0"/>
              <w:textAlignment w:val="baseline"/>
              <w:rPr>
                <w:rFonts w:ascii="Arial" w:hAnsi="Arial" w:cs="Arial"/>
                <w:color w:val="000000" w:themeColor="text1"/>
                <w:sz w:val="18"/>
                <w:szCs w:val="18"/>
              </w:rPr>
            </w:pPr>
            <w:r w:rsidRPr="000A4D07">
              <w:rPr>
                <w:rStyle w:val="eop"/>
                <w:rFonts w:ascii="Arial" w:hAnsi="Arial" w:cs="Arial"/>
                <w:color w:val="000000" w:themeColor="text1"/>
                <w:sz w:val="18"/>
                <w:szCs w:val="18"/>
              </w:rPr>
              <w:t> </w:t>
            </w:r>
          </w:p>
        </w:tc>
        <w:tc>
          <w:tcPr>
            <w:tcW w:w="1902" w:type="dxa"/>
            <w:tcBorders>
              <w:top w:val="single" w:sz="6" w:space="0" w:color="auto"/>
              <w:left w:val="nil"/>
              <w:bottom w:val="single" w:sz="6" w:space="0" w:color="auto"/>
              <w:right w:val="nil"/>
            </w:tcBorders>
            <w:shd w:val="clear" w:color="auto" w:fill="auto"/>
            <w:vAlign w:val="bottom"/>
            <w:hideMark/>
          </w:tcPr>
          <w:p w14:paraId="6F2D7736" w14:textId="014EC713" w:rsidR="000A4D07" w:rsidRPr="004A4E29" w:rsidRDefault="000A4D07" w:rsidP="00CF1DC5">
            <w:pPr>
              <w:pStyle w:val="paragraph"/>
              <w:spacing w:before="60" w:beforeAutospacing="0" w:after="60" w:afterAutospacing="0"/>
              <w:jc w:val="right"/>
              <w:textAlignment w:val="baseline"/>
              <w:rPr>
                <w:rFonts w:ascii="Arial" w:hAnsi="Arial" w:cs="Arial"/>
                <w:b/>
                <w:bCs/>
                <w:color w:val="000000" w:themeColor="text1"/>
                <w:sz w:val="18"/>
                <w:szCs w:val="18"/>
              </w:rPr>
            </w:pPr>
            <w:r w:rsidRPr="004A4E29">
              <w:rPr>
                <w:rStyle w:val="normaltextrun"/>
                <w:rFonts w:ascii="Arial" w:hAnsi="Arial" w:cs="Arial"/>
                <w:b/>
                <w:bCs/>
                <w:sz w:val="18"/>
                <w:szCs w:val="18"/>
              </w:rPr>
              <w:t>519,769</w:t>
            </w:r>
          </w:p>
        </w:tc>
      </w:tr>
    </w:tbl>
    <w:p w14:paraId="5129728D" w14:textId="77777777" w:rsidR="00E729D6" w:rsidRDefault="00EC2BA1">
      <w:pPr>
        <w:pStyle w:val="paragraph"/>
        <w:tabs>
          <w:tab w:val="left" w:pos="3236"/>
        </w:tabs>
        <w:spacing w:before="60" w:beforeAutospacing="0" w:after="60" w:afterAutospacing="0"/>
        <w:textAlignment w:val="baseline"/>
        <w:rPr>
          <w:rStyle w:val="eop"/>
          <w:rFonts w:ascii="Arial" w:hAnsi="Arial" w:cs="Arial"/>
          <w:color w:val="000000" w:themeColor="text1"/>
          <w:sz w:val="18"/>
          <w:szCs w:val="18"/>
        </w:rPr>
      </w:pPr>
      <w:r w:rsidRPr="00CF1DC5">
        <w:rPr>
          <w:rStyle w:val="eop"/>
          <w:rFonts w:ascii="Arial" w:hAnsi="Arial" w:cs="Arial"/>
          <w:color w:val="000000" w:themeColor="text1"/>
          <w:sz w:val="18"/>
          <w:szCs w:val="18"/>
        </w:rPr>
        <w:t> </w:t>
      </w:r>
    </w:p>
    <w:tbl>
      <w:tblPr>
        <w:tblW w:w="9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3"/>
        <w:gridCol w:w="2844"/>
        <w:gridCol w:w="272"/>
        <w:gridCol w:w="287"/>
        <w:gridCol w:w="144"/>
        <w:gridCol w:w="991"/>
        <w:gridCol w:w="1358"/>
      </w:tblGrid>
      <w:tr w:rsidR="00E729D6" w:rsidRPr="000E13BC" w14:paraId="4A60948B" w14:textId="77777777" w:rsidTr="0080014D">
        <w:trPr>
          <w:trHeight w:val="332"/>
        </w:trPr>
        <w:tc>
          <w:tcPr>
            <w:tcW w:w="6807" w:type="dxa"/>
            <w:gridSpan w:val="2"/>
            <w:tcBorders>
              <w:top w:val="nil"/>
              <w:left w:val="nil"/>
              <w:bottom w:val="single" w:sz="6" w:space="0" w:color="000000"/>
              <w:right w:val="nil"/>
            </w:tcBorders>
            <w:shd w:val="clear" w:color="auto" w:fill="auto"/>
            <w:vAlign w:val="bottom"/>
            <w:hideMark/>
          </w:tcPr>
          <w:p w14:paraId="3E1C70C0" w14:textId="77777777" w:rsidR="00E729D6" w:rsidRPr="000E13BC" w:rsidRDefault="00E729D6" w:rsidP="0080014D">
            <w:pPr>
              <w:pStyle w:val="paragraph"/>
              <w:spacing w:before="60" w:beforeAutospacing="0" w:after="60" w:afterAutospacing="0"/>
              <w:textAlignment w:val="baseline"/>
              <w:rPr>
                <w:rFonts w:ascii="Arial" w:hAnsi="Arial" w:cs="Arial"/>
                <w:color w:val="000000" w:themeColor="text1"/>
                <w:sz w:val="18"/>
                <w:szCs w:val="18"/>
              </w:rPr>
            </w:pPr>
            <w:r w:rsidRPr="000E13BC">
              <w:rPr>
                <w:rStyle w:val="eop"/>
                <w:rFonts w:ascii="Arial" w:hAnsi="Arial" w:cs="Arial"/>
                <w:color w:val="000000" w:themeColor="text1"/>
                <w:sz w:val="18"/>
                <w:szCs w:val="18"/>
              </w:rPr>
              <w:t> </w:t>
            </w:r>
          </w:p>
        </w:tc>
        <w:tc>
          <w:tcPr>
            <w:tcW w:w="703" w:type="dxa"/>
            <w:gridSpan w:val="3"/>
            <w:tcBorders>
              <w:top w:val="nil"/>
              <w:left w:val="nil"/>
              <w:bottom w:val="single" w:sz="6" w:space="0" w:color="000000"/>
              <w:right w:val="nil"/>
            </w:tcBorders>
            <w:shd w:val="clear" w:color="auto" w:fill="auto"/>
            <w:hideMark/>
          </w:tcPr>
          <w:p w14:paraId="641E544F" w14:textId="77777777" w:rsidR="00E729D6" w:rsidRPr="000E13BC" w:rsidRDefault="00E729D6" w:rsidP="0080014D">
            <w:pPr>
              <w:pStyle w:val="paragraph"/>
              <w:spacing w:before="60" w:beforeAutospacing="0" w:after="60" w:afterAutospacing="0"/>
              <w:jc w:val="right"/>
              <w:textAlignment w:val="baseline"/>
              <w:rPr>
                <w:rFonts w:ascii="Arial" w:hAnsi="Arial" w:cs="Arial"/>
                <w:color w:val="000000" w:themeColor="text1"/>
                <w:sz w:val="18"/>
                <w:szCs w:val="18"/>
              </w:rPr>
            </w:pPr>
            <w:r w:rsidRPr="000E13BC">
              <w:rPr>
                <w:rStyle w:val="eop"/>
                <w:rFonts w:ascii="Arial" w:hAnsi="Arial" w:cs="Arial"/>
                <w:color w:val="000000" w:themeColor="text1"/>
                <w:sz w:val="18"/>
                <w:szCs w:val="18"/>
              </w:rPr>
              <w:t> </w:t>
            </w:r>
          </w:p>
        </w:tc>
        <w:tc>
          <w:tcPr>
            <w:tcW w:w="2349" w:type="dxa"/>
            <w:gridSpan w:val="2"/>
            <w:tcBorders>
              <w:top w:val="nil"/>
              <w:left w:val="nil"/>
              <w:bottom w:val="single" w:sz="6" w:space="0" w:color="000000"/>
              <w:right w:val="nil"/>
            </w:tcBorders>
            <w:shd w:val="clear" w:color="auto" w:fill="auto"/>
            <w:hideMark/>
          </w:tcPr>
          <w:p w14:paraId="7A953D60" w14:textId="77777777" w:rsidR="00E729D6" w:rsidRPr="000E13BC" w:rsidRDefault="00E729D6" w:rsidP="0080014D">
            <w:pPr>
              <w:pStyle w:val="paragraph"/>
              <w:spacing w:before="60" w:beforeAutospacing="0" w:after="60" w:afterAutospacing="0"/>
              <w:jc w:val="center"/>
              <w:textAlignment w:val="baseline"/>
              <w:rPr>
                <w:rFonts w:ascii="Arial" w:hAnsi="Arial" w:cs="Arial"/>
                <w:color w:val="000000" w:themeColor="text1"/>
                <w:sz w:val="18"/>
                <w:szCs w:val="18"/>
              </w:rPr>
            </w:pPr>
            <w:r w:rsidRPr="000E13BC">
              <w:rPr>
                <w:rStyle w:val="normaltextrun"/>
                <w:rFonts w:ascii="Arial" w:hAnsi="Arial" w:cs="Arial"/>
                <w:b/>
                <w:bCs/>
                <w:color w:val="000000" w:themeColor="text1"/>
                <w:sz w:val="18"/>
                <w:szCs w:val="18"/>
              </w:rPr>
              <w:t>Proportion of ownership interest held</w:t>
            </w:r>
            <w:r w:rsidRPr="000E13BC">
              <w:rPr>
                <w:rStyle w:val="eop"/>
                <w:rFonts w:ascii="Arial" w:hAnsi="Arial" w:cs="Arial"/>
                <w:color w:val="000000" w:themeColor="text1"/>
                <w:sz w:val="18"/>
                <w:szCs w:val="18"/>
              </w:rPr>
              <w:t> </w:t>
            </w:r>
          </w:p>
        </w:tc>
      </w:tr>
      <w:tr w:rsidR="00E729D6" w:rsidRPr="000E13BC" w14:paraId="3AE4AFBB" w14:textId="77777777" w:rsidTr="0080014D">
        <w:trPr>
          <w:trHeight w:val="60"/>
        </w:trPr>
        <w:tc>
          <w:tcPr>
            <w:tcW w:w="3963" w:type="dxa"/>
            <w:tcBorders>
              <w:top w:val="nil"/>
              <w:left w:val="nil"/>
              <w:bottom w:val="single" w:sz="6" w:space="0" w:color="auto"/>
              <w:right w:val="nil"/>
            </w:tcBorders>
            <w:shd w:val="clear" w:color="auto" w:fill="auto"/>
            <w:vAlign w:val="bottom"/>
            <w:hideMark/>
          </w:tcPr>
          <w:p w14:paraId="762F7E52" w14:textId="77777777" w:rsidR="00E729D6" w:rsidRPr="000E13BC" w:rsidRDefault="00E729D6" w:rsidP="0080014D">
            <w:pPr>
              <w:pStyle w:val="paragraph"/>
              <w:spacing w:before="60" w:beforeAutospacing="0" w:after="60" w:afterAutospacing="0"/>
              <w:textAlignment w:val="baseline"/>
              <w:rPr>
                <w:rFonts w:ascii="Arial" w:hAnsi="Arial" w:cs="Arial"/>
                <w:color w:val="000000" w:themeColor="text1"/>
                <w:sz w:val="18"/>
                <w:szCs w:val="18"/>
              </w:rPr>
            </w:pPr>
            <w:r w:rsidRPr="000E13BC">
              <w:rPr>
                <w:rStyle w:val="normaltextrun"/>
                <w:rFonts w:ascii="Arial" w:hAnsi="Arial" w:cs="Arial"/>
                <w:b/>
                <w:bCs/>
                <w:color w:val="000000" w:themeColor="text1"/>
                <w:sz w:val="18"/>
                <w:szCs w:val="18"/>
              </w:rPr>
              <w:t>Name</w:t>
            </w:r>
            <w:r w:rsidRPr="000E13BC">
              <w:rPr>
                <w:rStyle w:val="eop"/>
                <w:rFonts w:ascii="Arial" w:hAnsi="Arial" w:cs="Arial"/>
                <w:color w:val="000000" w:themeColor="text1"/>
                <w:sz w:val="18"/>
                <w:szCs w:val="18"/>
              </w:rPr>
              <w:t> </w:t>
            </w:r>
          </w:p>
        </w:tc>
        <w:tc>
          <w:tcPr>
            <w:tcW w:w="3116" w:type="dxa"/>
            <w:gridSpan w:val="2"/>
            <w:tcBorders>
              <w:top w:val="nil"/>
              <w:left w:val="nil"/>
              <w:bottom w:val="single" w:sz="6" w:space="0" w:color="auto"/>
              <w:right w:val="nil"/>
            </w:tcBorders>
            <w:shd w:val="clear" w:color="auto" w:fill="auto"/>
            <w:vAlign w:val="bottom"/>
            <w:hideMark/>
          </w:tcPr>
          <w:p w14:paraId="170E0A3A" w14:textId="77777777" w:rsidR="00E729D6" w:rsidRPr="000E13BC" w:rsidRDefault="00E729D6" w:rsidP="0080014D">
            <w:pPr>
              <w:pStyle w:val="paragraph"/>
              <w:spacing w:before="60" w:beforeAutospacing="0" w:after="60" w:afterAutospacing="0"/>
              <w:textAlignment w:val="baseline"/>
              <w:rPr>
                <w:rFonts w:ascii="Arial" w:hAnsi="Arial" w:cs="Arial"/>
                <w:color w:val="000000" w:themeColor="text1"/>
                <w:sz w:val="18"/>
                <w:szCs w:val="18"/>
              </w:rPr>
            </w:pPr>
            <w:r w:rsidRPr="000E13BC">
              <w:rPr>
                <w:rStyle w:val="normaltextrun"/>
                <w:rFonts w:ascii="Arial" w:hAnsi="Arial" w:cs="Arial"/>
                <w:b/>
                <w:bCs/>
                <w:color w:val="000000" w:themeColor="text1"/>
                <w:sz w:val="18"/>
                <w:szCs w:val="18"/>
              </w:rPr>
              <w:t>Country of incorporation</w:t>
            </w:r>
            <w:r w:rsidRPr="000E13BC">
              <w:rPr>
                <w:rStyle w:val="eop"/>
                <w:rFonts w:ascii="Arial" w:hAnsi="Arial" w:cs="Arial"/>
                <w:color w:val="000000" w:themeColor="text1"/>
                <w:sz w:val="18"/>
                <w:szCs w:val="18"/>
              </w:rPr>
              <w:t> </w:t>
            </w:r>
          </w:p>
        </w:tc>
        <w:tc>
          <w:tcPr>
            <w:tcW w:w="1422" w:type="dxa"/>
            <w:gridSpan w:val="3"/>
            <w:tcBorders>
              <w:top w:val="nil"/>
              <w:left w:val="nil"/>
              <w:bottom w:val="single" w:sz="6" w:space="0" w:color="auto"/>
              <w:right w:val="nil"/>
            </w:tcBorders>
            <w:shd w:val="clear" w:color="auto" w:fill="auto"/>
            <w:vAlign w:val="bottom"/>
            <w:hideMark/>
          </w:tcPr>
          <w:p w14:paraId="10AAFF0E" w14:textId="77777777" w:rsidR="00E729D6" w:rsidRPr="000E13BC" w:rsidRDefault="00E729D6" w:rsidP="0080014D">
            <w:pPr>
              <w:pStyle w:val="paragraph"/>
              <w:spacing w:before="60" w:beforeAutospacing="0" w:after="60" w:afterAutospacing="0"/>
              <w:jc w:val="right"/>
              <w:textAlignment w:val="baseline"/>
              <w:rPr>
                <w:rFonts w:ascii="Arial" w:hAnsi="Arial" w:cs="Arial"/>
                <w:color w:val="000000" w:themeColor="text1"/>
                <w:sz w:val="18"/>
                <w:szCs w:val="18"/>
              </w:rPr>
            </w:pPr>
            <w:r w:rsidRPr="000E13BC">
              <w:rPr>
                <w:rStyle w:val="normaltextrun"/>
                <w:rFonts w:ascii="Arial" w:hAnsi="Arial" w:cs="Arial"/>
                <w:b/>
                <w:bCs/>
                <w:color w:val="000000" w:themeColor="text1"/>
                <w:sz w:val="18"/>
                <w:szCs w:val="18"/>
              </w:rPr>
              <w:t>30 June 2022</w:t>
            </w:r>
            <w:r w:rsidRPr="000E13BC">
              <w:rPr>
                <w:rStyle w:val="eop"/>
                <w:rFonts w:ascii="Arial" w:hAnsi="Arial" w:cs="Arial"/>
                <w:color w:val="000000" w:themeColor="text1"/>
                <w:sz w:val="18"/>
                <w:szCs w:val="18"/>
              </w:rPr>
              <w:t> </w:t>
            </w:r>
          </w:p>
        </w:tc>
        <w:tc>
          <w:tcPr>
            <w:tcW w:w="1358" w:type="dxa"/>
            <w:tcBorders>
              <w:top w:val="nil"/>
              <w:left w:val="nil"/>
              <w:bottom w:val="single" w:sz="6" w:space="0" w:color="auto"/>
              <w:right w:val="nil"/>
            </w:tcBorders>
            <w:shd w:val="clear" w:color="auto" w:fill="auto"/>
            <w:vAlign w:val="bottom"/>
            <w:hideMark/>
          </w:tcPr>
          <w:p w14:paraId="0B078778" w14:textId="77777777" w:rsidR="00E729D6" w:rsidRPr="000E13BC" w:rsidRDefault="00E729D6" w:rsidP="0080014D">
            <w:pPr>
              <w:pStyle w:val="paragraph"/>
              <w:spacing w:before="60" w:beforeAutospacing="0" w:after="60" w:afterAutospacing="0"/>
              <w:jc w:val="right"/>
              <w:textAlignment w:val="baseline"/>
              <w:rPr>
                <w:rFonts w:ascii="Arial" w:hAnsi="Arial" w:cs="Arial"/>
                <w:color w:val="000000" w:themeColor="text1"/>
                <w:sz w:val="18"/>
                <w:szCs w:val="18"/>
              </w:rPr>
            </w:pPr>
            <w:r w:rsidRPr="000E13BC">
              <w:rPr>
                <w:rStyle w:val="normaltextrun"/>
                <w:rFonts w:ascii="Arial" w:hAnsi="Arial" w:cs="Arial"/>
                <w:b/>
                <w:bCs/>
                <w:color w:val="000000" w:themeColor="text1"/>
                <w:sz w:val="18"/>
                <w:szCs w:val="18"/>
              </w:rPr>
              <w:t>30 June 2021</w:t>
            </w:r>
            <w:r w:rsidRPr="000E13BC">
              <w:rPr>
                <w:rStyle w:val="eop"/>
                <w:rFonts w:ascii="Arial" w:hAnsi="Arial" w:cs="Arial"/>
                <w:color w:val="000000" w:themeColor="text1"/>
                <w:sz w:val="18"/>
                <w:szCs w:val="18"/>
              </w:rPr>
              <w:t> </w:t>
            </w:r>
          </w:p>
        </w:tc>
      </w:tr>
      <w:tr w:rsidR="00E729D6" w:rsidRPr="000E13BC" w14:paraId="4D23C878" w14:textId="77777777" w:rsidTr="0080014D">
        <w:trPr>
          <w:trHeight w:val="196"/>
        </w:trPr>
        <w:tc>
          <w:tcPr>
            <w:tcW w:w="3963" w:type="dxa"/>
            <w:tcBorders>
              <w:top w:val="single" w:sz="6" w:space="0" w:color="auto"/>
              <w:left w:val="nil"/>
              <w:bottom w:val="single" w:sz="6" w:space="0" w:color="auto"/>
              <w:right w:val="nil"/>
            </w:tcBorders>
            <w:shd w:val="clear" w:color="auto" w:fill="auto"/>
            <w:hideMark/>
          </w:tcPr>
          <w:p w14:paraId="7236680E" w14:textId="77777777" w:rsidR="00E729D6" w:rsidRPr="000E13BC" w:rsidRDefault="00E729D6" w:rsidP="0080014D">
            <w:pPr>
              <w:pStyle w:val="paragraph"/>
              <w:spacing w:before="60" w:beforeAutospacing="0" w:after="60" w:afterAutospacing="0"/>
              <w:textAlignment w:val="baseline"/>
              <w:rPr>
                <w:rFonts w:ascii="Arial" w:hAnsi="Arial" w:cs="Arial"/>
                <w:bCs/>
                <w:color w:val="000000" w:themeColor="text1"/>
                <w:sz w:val="18"/>
                <w:szCs w:val="18"/>
              </w:rPr>
            </w:pPr>
            <w:proofErr w:type="spellStart"/>
            <w:r w:rsidRPr="000E13BC">
              <w:rPr>
                <w:rFonts w:ascii="Arial" w:hAnsi="Arial" w:cs="Arial"/>
                <w:bCs/>
                <w:color w:val="000000" w:themeColor="text1"/>
                <w:sz w:val="18"/>
                <w:szCs w:val="18"/>
              </w:rPr>
              <w:t>Nikkeli</w:t>
            </w:r>
            <w:proofErr w:type="spellEnd"/>
            <w:r w:rsidRPr="000E13BC">
              <w:rPr>
                <w:rFonts w:ascii="Arial" w:hAnsi="Arial" w:cs="Arial"/>
                <w:bCs/>
                <w:color w:val="000000" w:themeColor="text1"/>
                <w:sz w:val="18"/>
                <w:szCs w:val="18"/>
              </w:rPr>
              <w:t xml:space="preserve"> Greenland A/S </w:t>
            </w:r>
          </w:p>
        </w:tc>
        <w:tc>
          <w:tcPr>
            <w:tcW w:w="3403" w:type="dxa"/>
            <w:gridSpan w:val="3"/>
            <w:tcBorders>
              <w:top w:val="single" w:sz="6" w:space="0" w:color="auto"/>
              <w:left w:val="nil"/>
              <w:bottom w:val="single" w:sz="6" w:space="0" w:color="auto"/>
              <w:right w:val="nil"/>
            </w:tcBorders>
            <w:shd w:val="clear" w:color="auto" w:fill="auto"/>
            <w:vAlign w:val="bottom"/>
            <w:hideMark/>
          </w:tcPr>
          <w:p w14:paraId="2C42DA19" w14:textId="77777777" w:rsidR="00E729D6" w:rsidRPr="000E13BC" w:rsidRDefault="00E729D6" w:rsidP="0080014D">
            <w:pPr>
              <w:pStyle w:val="paragraph"/>
              <w:spacing w:before="60" w:beforeAutospacing="0" w:after="60" w:afterAutospacing="0"/>
              <w:textAlignment w:val="baseline"/>
              <w:rPr>
                <w:rFonts w:ascii="Arial" w:hAnsi="Arial" w:cs="Arial"/>
                <w:bCs/>
                <w:color w:val="000000" w:themeColor="text1"/>
                <w:sz w:val="18"/>
                <w:szCs w:val="18"/>
              </w:rPr>
            </w:pPr>
            <w:r w:rsidRPr="000E13BC">
              <w:rPr>
                <w:rFonts w:ascii="Arial" w:hAnsi="Arial" w:cs="Arial"/>
                <w:bCs/>
                <w:color w:val="000000" w:themeColor="text1"/>
                <w:sz w:val="18"/>
                <w:szCs w:val="18"/>
              </w:rPr>
              <w:t>Greenland </w:t>
            </w:r>
          </w:p>
        </w:tc>
        <w:tc>
          <w:tcPr>
            <w:tcW w:w="1134" w:type="dxa"/>
            <w:gridSpan w:val="2"/>
            <w:tcBorders>
              <w:top w:val="single" w:sz="6" w:space="0" w:color="auto"/>
              <w:left w:val="nil"/>
              <w:bottom w:val="single" w:sz="6" w:space="0" w:color="auto"/>
              <w:right w:val="nil"/>
            </w:tcBorders>
            <w:shd w:val="clear" w:color="auto" w:fill="auto"/>
            <w:hideMark/>
          </w:tcPr>
          <w:p w14:paraId="1BB5B20C" w14:textId="77777777" w:rsidR="00E729D6" w:rsidRPr="000E13BC" w:rsidRDefault="00E729D6" w:rsidP="0080014D">
            <w:pPr>
              <w:pStyle w:val="paragraph"/>
              <w:spacing w:before="60" w:beforeAutospacing="0" w:after="60" w:afterAutospacing="0"/>
              <w:jc w:val="right"/>
              <w:textAlignment w:val="baseline"/>
              <w:rPr>
                <w:rFonts w:ascii="Arial" w:hAnsi="Arial" w:cs="Arial"/>
                <w:bCs/>
                <w:color w:val="000000" w:themeColor="text1"/>
                <w:sz w:val="18"/>
                <w:szCs w:val="18"/>
              </w:rPr>
            </w:pPr>
            <w:r w:rsidRPr="000E13BC">
              <w:rPr>
                <w:rFonts w:ascii="Arial" w:hAnsi="Arial" w:cs="Arial"/>
                <w:bCs/>
                <w:color w:val="000000" w:themeColor="text1"/>
                <w:sz w:val="18"/>
                <w:szCs w:val="18"/>
              </w:rPr>
              <w:t>49% </w:t>
            </w:r>
          </w:p>
        </w:tc>
        <w:tc>
          <w:tcPr>
            <w:tcW w:w="1358" w:type="dxa"/>
            <w:tcBorders>
              <w:top w:val="single" w:sz="6" w:space="0" w:color="auto"/>
              <w:left w:val="nil"/>
              <w:bottom w:val="single" w:sz="6" w:space="0" w:color="auto"/>
              <w:right w:val="nil"/>
            </w:tcBorders>
            <w:shd w:val="clear" w:color="auto" w:fill="auto"/>
            <w:hideMark/>
          </w:tcPr>
          <w:p w14:paraId="247C3C58" w14:textId="77777777" w:rsidR="00E729D6" w:rsidRPr="000E13BC" w:rsidRDefault="00E729D6" w:rsidP="0080014D">
            <w:pPr>
              <w:pStyle w:val="paragraph"/>
              <w:spacing w:before="60" w:beforeAutospacing="0" w:after="60" w:afterAutospacing="0"/>
              <w:jc w:val="right"/>
              <w:textAlignment w:val="baseline"/>
              <w:rPr>
                <w:rFonts w:ascii="Arial" w:hAnsi="Arial" w:cs="Arial"/>
                <w:bCs/>
                <w:color w:val="000000" w:themeColor="text1"/>
                <w:sz w:val="18"/>
                <w:szCs w:val="18"/>
              </w:rPr>
            </w:pPr>
            <w:r w:rsidRPr="000E13BC">
              <w:rPr>
                <w:rFonts w:ascii="Arial" w:hAnsi="Arial" w:cs="Arial"/>
                <w:bCs/>
                <w:color w:val="000000" w:themeColor="text1"/>
                <w:sz w:val="18"/>
                <w:szCs w:val="18"/>
              </w:rPr>
              <w:t>- </w:t>
            </w:r>
          </w:p>
        </w:tc>
      </w:tr>
    </w:tbl>
    <w:p w14:paraId="5B85665F" w14:textId="7669BAA0" w:rsidR="00EC2BA1" w:rsidRDefault="00191364">
      <w:pPr>
        <w:pStyle w:val="paragraph"/>
        <w:tabs>
          <w:tab w:val="left" w:pos="3236"/>
        </w:tabs>
        <w:spacing w:before="60" w:beforeAutospacing="0" w:after="60" w:afterAutospacing="0"/>
        <w:textAlignment w:val="baseline"/>
        <w:rPr>
          <w:rStyle w:val="eop"/>
          <w:rFonts w:ascii="Arial" w:hAnsi="Arial" w:cs="Arial"/>
          <w:color w:val="000000" w:themeColor="text1"/>
          <w:sz w:val="18"/>
          <w:szCs w:val="18"/>
        </w:rPr>
      </w:pPr>
      <w:r>
        <w:rPr>
          <w:rStyle w:val="eop"/>
          <w:rFonts w:ascii="Arial" w:hAnsi="Arial" w:cs="Arial"/>
          <w:color w:val="000000" w:themeColor="text1"/>
          <w:sz w:val="18"/>
          <w:szCs w:val="18"/>
        </w:rPr>
        <w:tab/>
      </w:r>
    </w:p>
    <w:p w14:paraId="222FC037" w14:textId="43CEB255" w:rsidR="00567E7A" w:rsidRPr="00094352" w:rsidRDefault="00490FF5" w:rsidP="00567E7A">
      <w:pPr>
        <w:keepNext/>
        <w:tabs>
          <w:tab w:val="left" w:pos="346"/>
          <w:tab w:val="left" w:pos="720"/>
          <w:tab w:val="left" w:pos="1151"/>
          <w:tab w:val="decimal" w:pos="6049"/>
          <w:tab w:val="decimal" w:pos="7342"/>
          <w:tab w:val="decimal" w:pos="8640"/>
          <w:tab w:val="decimal" w:pos="9836"/>
        </w:tabs>
        <w:suppressAutoHyphens/>
        <w:spacing w:after="120"/>
        <w:jc w:val="both"/>
        <w:outlineLvl w:val="0"/>
        <w:rPr>
          <w:rFonts w:ascii="Arial" w:hAnsi="Arial" w:cs="Arial"/>
          <w:b/>
          <w:bCs/>
          <w:sz w:val="20"/>
        </w:rPr>
      </w:pPr>
      <w:r>
        <w:rPr>
          <w:rFonts w:ascii="Arial" w:hAnsi="Arial" w:cs="Arial"/>
          <w:b/>
          <w:bCs/>
          <w:sz w:val="20"/>
        </w:rPr>
        <w:t>8</w:t>
      </w:r>
      <w:r w:rsidR="00567E7A">
        <w:rPr>
          <w:rFonts w:ascii="Arial" w:hAnsi="Arial" w:cs="Arial"/>
          <w:b/>
          <w:bCs/>
          <w:sz w:val="20"/>
        </w:rPr>
        <w:t xml:space="preserve">. </w:t>
      </w:r>
      <w:r w:rsidR="00C60494">
        <w:rPr>
          <w:rFonts w:ascii="Arial" w:hAnsi="Arial" w:cs="Arial"/>
          <w:b/>
          <w:bCs/>
          <w:sz w:val="20"/>
        </w:rPr>
        <w:t>Management fee</w:t>
      </w:r>
    </w:p>
    <w:tbl>
      <w:tblPr>
        <w:tblW w:w="98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1"/>
        <w:gridCol w:w="1642"/>
        <w:gridCol w:w="1704"/>
      </w:tblGrid>
      <w:tr w:rsidR="00C60494" w:rsidRPr="006879D2" w14:paraId="2B67103F" w14:textId="71330C04" w:rsidTr="0051151D">
        <w:trPr>
          <w:trHeight w:val="454"/>
        </w:trPr>
        <w:tc>
          <w:tcPr>
            <w:tcW w:w="6521" w:type="dxa"/>
            <w:tcBorders>
              <w:top w:val="nil"/>
              <w:left w:val="nil"/>
              <w:bottom w:val="nil"/>
              <w:right w:val="nil"/>
            </w:tcBorders>
            <w:shd w:val="clear" w:color="auto" w:fill="auto"/>
            <w:vAlign w:val="bottom"/>
            <w:hideMark/>
          </w:tcPr>
          <w:p w14:paraId="14107176" w14:textId="77777777" w:rsidR="00C60494" w:rsidRPr="006879D2" w:rsidRDefault="00C60494" w:rsidP="00C60494">
            <w:pPr>
              <w:keepNext/>
              <w:tabs>
                <w:tab w:val="left" w:pos="346"/>
                <w:tab w:val="left" w:pos="720"/>
                <w:tab w:val="left" w:pos="1152"/>
                <w:tab w:val="decimal" w:pos="6048"/>
                <w:tab w:val="decimal" w:pos="7344"/>
                <w:tab w:val="decimal" w:pos="8640"/>
                <w:tab w:val="decimal" w:pos="9835"/>
              </w:tabs>
              <w:suppressAutoHyphens/>
              <w:rPr>
                <w:rFonts w:ascii="Arial" w:hAnsi="Arial" w:cs="Arial"/>
                <w:b/>
                <w:color w:val="000000" w:themeColor="text1"/>
                <w:sz w:val="18"/>
                <w:szCs w:val="18"/>
              </w:rPr>
            </w:pPr>
          </w:p>
        </w:tc>
        <w:tc>
          <w:tcPr>
            <w:tcW w:w="1642" w:type="dxa"/>
            <w:tcBorders>
              <w:top w:val="nil"/>
              <w:left w:val="nil"/>
              <w:bottom w:val="nil"/>
              <w:right w:val="nil"/>
            </w:tcBorders>
            <w:shd w:val="clear" w:color="auto" w:fill="auto"/>
            <w:hideMark/>
          </w:tcPr>
          <w:p w14:paraId="08FF7A2F" w14:textId="77777777" w:rsidR="00C60494" w:rsidRPr="0051151D" w:rsidRDefault="00C60494" w:rsidP="00C6049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51151D">
              <w:rPr>
                <w:rFonts w:ascii="Arial" w:hAnsi="Arial" w:cs="Arial"/>
                <w:b/>
                <w:sz w:val="18"/>
                <w:szCs w:val="18"/>
              </w:rPr>
              <w:t>6 months to 30 June 2022 Unaudited</w:t>
            </w:r>
          </w:p>
          <w:p w14:paraId="55DD71E4" w14:textId="61E201BE" w:rsidR="00C60494" w:rsidRPr="006879D2" w:rsidRDefault="00C60494" w:rsidP="00C60494">
            <w:pPr>
              <w:keepNext/>
              <w:tabs>
                <w:tab w:val="left" w:pos="346"/>
                <w:tab w:val="left" w:pos="720"/>
                <w:tab w:val="left" w:pos="1152"/>
                <w:tab w:val="decimal" w:pos="6048"/>
                <w:tab w:val="decimal" w:pos="7344"/>
                <w:tab w:val="decimal" w:pos="8640"/>
                <w:tab w:val="decimal" w:pos="9835"/>
              </w:tabs>
              <w:suppressAutoHyphens/>
              <w:jc w:val="right"/>
              <w:rPr>
                <w:rFonts w:ascii="Arial" w:hAnsi="Arial" w:cs="Arial"/>
                <w:b/>
                <w:bCs/>
                <w:color w:val="000000" w:themeColor="text1"/>
                <w:sz w:val="18"/>
                <w:szCs w:val="18"/>
              </w:rPr>
            </w:pPr>
            <w:r w:rsidRPr="0051151D">
              <w:rPr>
                <w:rFonts w:ascii="Arial" w:hAnsi="Arial" w:cs="Arial"/>
                <w:b/>
                <w:sz w:val="18"/>
                <w:szCs w:val="18"/>
              </w:rPr>
              <w:t>£</w:t>
            </w:r>
          </w:p>
        </w:tc>
        <w:tc>
          <w:tcPr>
            <w:tcW w:w="1704" w:type="dxa"/>
            <w:tcBorders>
              <w:top w:val="nil"/>
              <w:left w:val="nil"/>
              <w:bottom w:val="nil"/>
              <w:right w:val="nil"/>
            </w:tcBorders>
          </w:tcPr>
          <w:p w14:paraId="12788AEA" w14:textId="77777777" w:rsidR="00C60494" w:rsidRPr="0051151D" w:rsidRDefault="00C60494" w:rsidP="00C60494">
            <w:pPr>
              <w:tabs>
                <w:tab w:val="decimal" w:pos="4723"/>
                <w:tab w:val="decimal" w:pos="6019"/>
                <w:tab w:val="decimal" w:pos="7315"/>
                <w:tab w:val="decimal" w:pos="8611"/>
                <w:tab w:val="decimal" w:pos="9878"/>
              </w:tabs>
              <w:suppressAutoHyphens/>
              <w:spacing w:before="60" w:after="60"/>
              <w:jc w:val="right"/>
              <w:rPr>
                <w:rFonts w:ascii="Arial" w:hAnsi="Arial" w:cs="Arial"/>
                <w:b/>
                <w:sz w:val="18"/>
                <w:szCs w:val="18"/>
              </w:rPr>
            </w:pPr>
            <w:r w:rsidRPr="0051151D">
              <w:rPr>
                <w:rFonts w:ascii="Arial" w:hAnsi="Arial" w:cs="Arial"/>
                <w:b/>
                <w:sz w:val="18"/>
                <w:szCs w:val="18"/>
              </w:rPr>
              <w:t>6 months to 30 June 2021 Unaudited</w:t>
            </w:r>
          </w:p>
          <w:p w14:paraId="4E60DF1A" w14:textId="3575FF5C" w:rsidR="00C60494" w:rsidRPr="006879D2" w:rsidRDefault="00C60494" w:rsidP="00C60494">
            <w:pPr>
              <w:keepNext/>
              <w:tabs>
                <w:tab w:val="left" w:pos="346"/>
                <w:tab w:val="left" w:pos="720"/>
                <w:tab w:val="left" w:pos="1152"/>
                <w:tab w:val="decimal" w:pos="6048"/>
                <w:tab w:val="decimal" w:pos="7344"/>
                <w:tab w:val="decimal" w:pos="8640"/>
                <w:tab w:val="decimal" w:pos="9835"/>
              </w:tabs>
              <w:suppressAutoHyphens/>
              <w:jc w:val="right"/>
              <w:rPr>
                <w:rFonts w:ascii="Arial" w:hAnsi="Arial" w:cs="Arial"/>
                <w:b/>
                <w:bCs/>
                <w:color w:val="000000" w:themeColor="text1"/>
                <w:sz w:val="18"/>
                <w:szCs w:val="18"/>
              </w:rPr>
            </w:pPr>
            <w:r w:rsidRPr="0051151D">
              <w:rPr>
                <w:rFonts w:ascii="Arial" w:hAnsi="Arial" w:cs="Arial"/>
                <w:b/>
                <w:sz w:val="18"/>
                <w:szCs w:val="18"/>
              </w:rPr>
              <w:t>£</w:t>
            </w:r>
          </w:p>
        </w:tc>
      </w:tr>
      <w:tr w:rsidR="00C60494" w:rsidRPr="006879D2" w14:paraId="768B6F02" w14:textId="7347CEC7" w:rsidTr="0051151D">
        <w:trPr>
          <w:trHeight w:val="262"/>
        </w:trPr>
        <w:tc>
          <w:tcPr>
            <w:tcW w:w="6521" w:type="dxa"/>
            <w:tcBorders>
              <w:top w:val="nil"/>
              <w:left w:val="nil"/>
              <w:bottom w:val="nil"/>
              <w:right w:val="nil"/>
            </w:tcBorders>
            <w:shd w:val="clear" w:color="auto" w:fill="auto"/>
            <w:vAlign w:val="bottom"/>
            <w:hideMark/>
          </w:tcPr>
          <w:p w14:paraId="1C858C4B" w14:textId="283235A7" w:rsidR="00C60494" w:rsidRPr="0051151D" w:rsidRDefault="00C60494" w:rsidP="00C60494">
            <w:pPr>
              <w:pStyle w:val="paragraph"/>
              <w:spacing w:before="60" w:beforeAutospacing="0" w:after="60" w:afterAutospacing="0"/>
              <w:textAlignment w:val="baseline"/>
              <w:rPr>
                <w:rFonts w:ascii="Arial" w:hAnsi="Arial" w:cs="Arial"/>
                <w:color w:val="000000" w:themeColor="text1"/>
                <w:sz w:val="18"/>
                <w:szCs w:val="18"/>
              </w:rPr>
            </w:pPr>
            <w:r w:rsidRPr="006879D2">
              <w:rPr>
                <w:rStyle w:val="normaltextrun"/>
                <w:rFonts w:ascii="Arial" w:hAnsi="Arial" w:cs="Arial"/>
                <w:color w:val="000000" w:themeColor="text1"/>
                <w:sz w:val="18"/>
                <w:szCs w:val="18"/>
              </w:rPr>
              <w:t>Income from JV partners</w:t>
            </w:r>
          </w:p>
        </w:tc>
        <w:tc>
          <w:tcPr>
            <w:tcW w:w="1642" w:type="dxa"/>
            <w:tcBorders>
              <w:top w:val="nil"/>
              <w:left w:val="nil"/>
              <w:bottom w:val="nil"/>
              <w:right w:val="nil"/>
            </w:tcBorders>
            <w:shd w:val="clear" w:color="auto" w:fill="auto"/>
            <w:vAlign w:val="bottom"/>
            <w:hideMark/>
          </w:tcPr>
          <w:p w14:paraId="4A63ED17" w14:textId="7266891B" w:rsidR="00C60494" w:rsidRPr="0051151D" w:rsidRDefault="00C60494" w:rsidP="00C60494">
            <w:pPr>
              <w:pStyle w:val="paragraph"/>
              <w:spacing w:before="60" w:beforeAutospacing="0" w:after="60" w:afterAutospacing="0"/>
              <w:jc w:val="right"/>
              <w:textAlignment w:val="baseline"/>
              <w:rPr>
                <w:rStyle w:val="normaltextrun"/>
                <w:rFonts w:ascii="Arial" w:hAnsi="Arial" w:cs="Arial"/>
                <w:sz w:val="18"/>
                <w:szCs w:val="18"/>
              </w:rPr>
            </w:pPr>
            <w:r w:rsidRPr="006879D2">
              <w:rPr>
                <w:rStyle w:val="normaltextrun"/>
                <w:rFonts w:ascii="Arial" w:hAnsi="Arial" w:cs="Arial"/>
                <w:sz w:val="18"/>
                <w:szCs w:val="18"/>
              </w:rPr>
              <w:t>836,361</w:t>
            </w:r>
          </w:p>
        </w:tc>
        <w:tc>
          <w:tcPr>
            <w:tcW w:w="1704" w:type="dxa"/>
            <w:tcBorders>
              <w:top w:val="nil"/>
              <w:left w:val="nil"/>
              <w:bottom w:val="nil"/>
              <w:right w:val="nil"/>
            </w:tcBorders>
          </w:tcPr>
          <w:p w14:paraId="24D49AEF" w14:textId="65A50F75" w:rsidR="00C60494" w:rsidRPr="006879D2" w:rsidRDefault="006879D2" w:rsidP="00C60494">
            <w:pPr>
              <w:pStyle w:val="paragraph"/>
              <w:spacing w:before="60" w:beforeAutospacing="0" w:after="60" w:afterAutospacing="0"/>
              <w:jc w:val="right"/>
              <w:textAlignment w:val="baseline"/>
              <w:rPr>
                <w:rStyle w:val="normaltextrun"/>
                <w:rFonts w:ascii="Arial" w:hAnsi="Arial" w:cs="Arial"/>
                <w:sz w:val="18"/>
                <w:szCs w:val="18"/>
              </w:rPr>
            </w:pPr>
            <w:r>
              <w:rPr>
                <w:rStyle w:val="normaltextrun"/>
                <w:rFonts w:ascii="Arial" w:hAnsi="Arial" w:cs="Arial"/>
                <w:sz w:val="18"/>
                <w:szCs w:val="18"/>
              </w:rPr>
              <w:t>-</w:t>
            </w:r>
          </w:p>
        </w:tc>
      </w:tr>
      <w:tr w:rsidR="00C60494" w:rsidRPr="006879D2" w14:paraId="60177488" w14:textId="0B48995F" w:rsidTr="0051151D">
        <w:trPr>
          <w:trHeight w:val="262"/>
        </w:trPr>
        <w:tc>
          <w:tcPr>
            <w:tcW w:w="6521" w:type="dxa"/>
            <w:tcBorders>
              <w:top w:val="nil"/>
              <w:left w:val="nil"/>
              <w:bottom w:val="nil"/>
              <w:right w:val="nil"/>
            </w:tcBorders>
            <w:shd w:val="clear" w:color="auto" w:fill="auto"/>
            <w:vAlign w:val="bottom"/>
            <w:hideMark/>
          </w:tcPr>
          <w:p w14:paraId="524C123B" w14:textId="77777777" w:rsidR="00C60494" w:rsidRPr="0051151D" w:rsidRDefault="00C60494" w:rsidP="00C60494">
            <w:pPr>
              <w:pStyle w:val="paragraph"/>
              <w:spacing w:before="60" w:beforeAutospacing="0" w:after="60" w:afterAutospacing="0"/>
              <w:textAlignment w:val="baseline"/>
              <w:rPr>
                <w:rFonts w:ascii="Arial" w:hAnsi="Arial" w:cs="Arial"/>
                <w:color w:val="000000" w:themeColor="text1"/>
                <w:sz w:val="18"/>
                <w:szCs w:val="18"/>
              </w:rPr>
            </w:pPr>
            <w:r w:rsidRPr="006879D2">
              <w:rPr>
                <w:rStyle w:val="eop"/>
                <w:rFonts w:ascii="Arial" w:hAnsi="Arial" w:cs="Arial"/>
                <w:color w:val="000000" w:themeColor="text1"/>
                <w:sz w:val="18"/>
                <w:szCs w:val="18"/>
              </w:rPr>
              <w:t> </w:t>
            </w:r>
          </w:p>
        </w:tc>
        <w:tc>
          <w:tcPr>
            <w:tcW w:w="1642" w:type="dxa"/>
            <w:tcBorders>
              <w:top w:val="single" w:sz="4" w:space="0" w:color="auto"/>
              <w:left w:val="nil"/>
              <w:bottom w:val="single" w:sz="6" w:space="0" w:color="auto"/>
              <w:right w:val="nil"/>
            </w:tcBorders>
            <w:shd w:val="clear" w:color="auto" w:fill="auto"/>
            <w:vAlign w:val="bottom"/>
            <w:hideMark/>
          </w:tcPr>
          <w:p w14:paraId="4B6440D1" w14:textId="387806E3" w:rsidR="00C60494" w:rsidRPr="0051151D" w:rsidRDefault="00C60494" w:rsidP="00C60494">
            <w:pPr>
              <w:pStyle w:val="paragraph"/>
              <w:spacing w:before="60" w:beforeAutospacing="0" w:after="60" w:afterAutospacing="0"/>
              <w:jc w:val="right"/>
              <w:textAlignment w:val="baseline"/>
              <w:rPr>
                <w:rFonts w:ascii="Arial" w:hAnsi="Arial" w:cs="Arial"/>
                <w:color w:val="000000" w:themeColor="text1"/>
                <w:sz w:val="18"/>
                <w:szCs w:val="18"/>
              </w:rPr>
            </w:pPr>
            <w:r w:rsidRPr="006879D2">
              <w:rPr>
                <w:rStyle w:val="normaltextrun"/>
                <w:rFonts w:ascii="Arial" w:hAnsi="Arial" w:cs="Arial"/>
                <w:b/>
                <w:bCs/>
                <w:sz w:val="18"/>
                <w:szCs w:val="18"/>
              </w:rPr>
              <w:t>836,361</w:t>
            </w:r>
          </w:p>
        </w:tc>
        <w:tc>
          <w:tcPr>
            <w:tcW w:w="1704" w:type="dxa"/>
            <w:tcBorders>
              <w:top w:val="single" w:sz="4" w:space="0" w:color="auto"/>
              <w:left w:val="nil"/>
              <w:bottom w:val="single" w:sz="6" w:space="0" w:color="auto"/>
              <w:right w:val="nil"/>
            </w:tcBorders>
          </w:tcPr>
          <w:p w14:paraId="7B307D1E" w14:textId="0793C384" w:rsidR="00C60494" w:rsidRPr="006879D2" w:rsidRDefault="006879D2" w:rsidP="00C60494">
            <w:pPr>
              <w:pStyle w:val="paragraph"/>
              <w:spacing w:before="60" w:beforeAutospacing="0" w:after="60" w:afterAutospacing="0"/>
              <w:jc w:val="right"/>
              <w:textAlignment w:val="baseline"/>
              <w:rPr>
                <w:rStyle w:val="normaltextrun"/>
                <w:rFonts w:ascii="Arial" w:hAnsi="Arial" w:cs="Arial"/>
                <w:b/>
                <w:bCs/>
                <w:sz w:val="18"/>
                <w:szCs w:val="18"/>
              </w:rPr>
            </w:pPr>
            <w:r>
              <w:rPr>
                <w:rStyle w:val="normaltextrun"/>
                <w:rFonts w:ascii="Arial" w:hAnsi="Arial" w:cs="Arial"/>
                <w:b/>
                <w:bCs/>
                <w:sz w:val="18"/>
                <w:szCs w:val="18"/>
              </w:rPr>
              <w:t>-</w:t>
            </w:r>
          </w:p>
        </w:tc>
      </w:tr>
    </w:tbl>
    <w:p w14:paraId="2CA6B950" w14:textId="77777777" w:rsidR="00567E7A" w:rsidRDefault="00567E7A" w:rsidP="00ED5415">
      <w:pPr>
        <w:keepNext/>
        <w:tabs>
          <w:tab w:val="left" w:pos="346"/>
          <w:tab w:val="left" w:pos="720"/>
          <w:tab w:val="left" w:pos="1151"/>
          <w:tab w:val="decimal" w:pos="6049"/>
          <w:tab w:val="decimal" w:pos="7342"/>
          <w:tab w:val="decimal" w:pos="8640"/>
          <w:tab w:val="decimal" w:pos="9836"/>
        </w:tabs>
        <w:suppressAutoHyphens/>
        <w:spacing w:after="120"/>
        <w:jc w:val="both"/>
        <w:outlineLvl w:val="0"/>
        <w:rPr>
          <w:rFonts w:ascii="Arial" w:hAnsi="Arial" w:cs="Arial"/>
          <w:b/>
          <w:bCs/>
          <w:sz w:val="20"/>
        </w:rPr>
      </w:pPr>
    </w:p>
    <w:p w14:paraId="43338D40" w14:textId="1113715F" w:rsidR="00D52BB7" w:rsidRPr="00094352" w:rsidRDefault="00490FF5" w:rsidP="00ED5415">
      <w:pPr>
        <w:keepNext/>
        <w:tabs>
          <w:tab w:val="left" w:pos="346"/>
          <w:tab w:val="left" w:pos="720"/>
          <w:tab w:val="left" w:pos="1151"/>
          <w:tab w:val="decimal" w:pos="6049"/>
          <w:tab w:val="decimal" w:pos="7342"/>
          <w:tab w:val="decimal" w:pos="8640"/>
          <w:tab w:val="decimal" w:pos="9836"/>
        </w:tabs>
        <w:suppressAutoHyphens/>
        <w:spacing w:after="120"/>
        <w:jc w:val="both"/>
        <w:outlineLvl w:val="0"/>
        <w:rPr>
          <w:rFonts w:ascii="Arial" w:hAnsi="Arial" w:cs="Arial"/>
          <w:b/>
          <w:bCs/>
          <w:sz w:val="20"/>
        </w:rPr>
      </w:pPr>
      <w:r>
        <w:rPr>
          <w:rFonts w:ascii="Arial" w:hAnsi="Arial" w:cs="Arial"/>
          <w:b/>
          <w:bCs/>
          <w:sz w:val="20"/>
        </w:rPr>
        <w:t>9</w:t>
      </w:r>
      <w:r w:rsidR="00567E7A">
        <w:rPr>
          <w:rFonts w:ascii="Arial" w:hAnsi="Arial" w:cs="Arial"/>
          <w:b/>
          <w:bCs/>
          <w:sz w:val="20"/>
        </w:rPr>
        <w:t xml:space="preserve">. </w:t>
      </w:r>
      <w:r w:rsidR="00D27CC5">
        <w:rPr>
          <w:rFonts w:ascii="Arial" w:hAnsi="Arial" w:cs="Arial"/>
          <w:b/>
          <w:bCs/>
          <w:sz w:val="20"/>
        </w:rPr>
        <w:t>Earnings</w:t>
      </w:r>
      <w:r w:rsidR="00D27CC5" w:rsidRPr="00F77777">
        <w:rPr>
          <w:rFonts w:ascii="Arial" w:hAnsi="Arial" w:cs="Arial"/>
          <w:b/>
          <w:bCs/>
          <w:sz w:val="20"/>
        </w:rPr>
        <w:t xml:space="preserve"> </w:t>
      </w:r>
      <w:r w:rsidR="00D52BB7" w:rsidRPr="00F77777">
        <w:rPr>
          <w:rFonts w:ascii="Arial" w:hAnsi="Arial" w:cs="Arial"/>
          <w:b/>
          <w:bCs/>
          <w:sz w:val="20"/>
        </w:rPr>
        <w:t>per Share</w:t>
      </w:r>
    </w:p>
    <w:p w14:paraId="2BBEB9FA" w14:textId="21B4AB27" w:rsidR="00ED0629" w:rsidRPr="005F6D82" w:rsidRDefault="00ED0629" w:rsidP="0040304C">
      <w:pPr>
        <w:numPr>
          <w:ilvl w:val="12"/>
          <w:numId w:val="0"/>
        </w:numPr>
        <w:tabs>
          <w:tab w:val="left" w:pos="709"/>
          <w:tab w:val="left" w:pos="1151"/>
          <w:tab w:val="decimal" w:pos="6049"/>
          <w:tab w:val="decimal" w:pos="7342"/>
          <w:tab w:val="decimal" w:pos="8640"/>
          <w:tab w:val="decimal" w:pos="9836"/>
        </w:tabs>
        <w:suppressAutoHyphens/>
        <w:jc w:val="both"/>
        <w:rPr>
          <w:rFonts w:ascii="Arial" w:hAnsi="Arial" w:cs="Arial"/>
          <w:bCs/>
          <w:sz w:val="18"/>
          <w:szCs w:val="18"/>
          <w:highlight w:val="yellow"/>
        </w:rPr>
      </w:pPr>
      <w:r w:rsidRPr="00CA5BEE">
        <w:rPr>
          <w:rFonts w:ascii="Arial" w:hAnsi="Arial" w:cs="Arial"/>
          <w:sz w:val="18"/>
          <w:szCs w:val="18"/>
          <w:lang w:val="en-US"/>
        </w:rPr>
        <w:t xml:space="preserve">The calculation of </w:t>
      </w:r>
      <w:r w:rsidR="00D27CC5" w:rsidRPr="00CA5BEE">
        <w:rPr>
          <w:rFonts w:ascii="Arial" w:hAnsi="Arial" w:cs="Arial"/>
          <w:sz w:val="18"/>
          <w:szCs w:val="18"/>
          <w:lang w:val="en-US"/>
        </w:rPr>
        <w:t xml:space="preserve">earnings </w:t>
      </w:r>
      <w:r w:rsidRPr="00CA5BEE">
        <w:rPr>
          <w:rFonts w:ascii="Arial" w:hAnsi="Arial" w:cs="Arial"/>
          <w:sz w:val="18"/>
          <w:szCs w:val="18"/>
          <w:lang w:val="en-US"/>
        </w:rPr>
        <w:t xml:space="preserve">per share is based on a </w:t>
      </w:r>
      <w:r w:rsidR="00E23662">
        <w:rPr>
          <w:rFonts w:ascii="Arial" w:hAnsi="Arial" w:cs="Arial"/>
          <w:sz w:val="18"/>
          <w:szCs w:val="18"/>
          <w:lang w:val="en-US"/>
        </w:rPr>
        <w:t>loss</w:t>
      </w:r>
      <w:r w:rsidR="00E23662" w:rsidRPr="00CA5BEE">
        <w:rPr>
          <w:rFonts w:ascii="Arial" w:hAnsi="Arial" w:cs="Arial"/>
          <w:sz w:val="18"/>
          <w:szCs w:val="18"/>
          <w:lang w:val="en-US"/>
        </w:rPr>
        <w:t xml:space="preserve"> </w:t>
      </w:r>
      <w:r w:rsidRPr="008670B4">
        <w:rPr>
          <w:rFonts w:ascii="Arial" w:hAnsi="Arial" w:cs="Arial"/>
          <w:sz w:val="18"/>
          <w:szCs w:val="18"/>
          <w:lang w:val="en-US"/>
        </w:rPr>
        <w:t>of £</w:t>
      </w:r>
      <w:r w:rsidR="00E23662">
        <w:rPr>
          <w:rFonts w:ascii="Arial" w:hAnsi="Arial" w:cs="Arial"/>
          <w:bCs/>
          <w:sz w:val="18"/>
          <w:szCs w:val="18"/>
        </w:rPr>
        <w:t>1,588,679</w:t>
      </w:r>
      <w:r w:rsidR="00F05792" w:rsidRPr="008670B4">
        <w:rPr>
          <w:rFonts w:cs="Arial"/>
          <w:szCs w:val="18"/>
        </w:rPr>
        <w:t xml:space="preserve"> </w:t>
      </w:r>
      <w:r w:rsidRPr="008670B4">
        <w:rPr>
          <w:rFonts w:ascii="Arial" w:hAnsi="Arial" w:cs="Arial"/>
          <w:sz w:val="18"/>
          <w:szCs w:val="18"/>
          <w:lang w:val="en-US"/>
        </w:rPr>
        <w:t xml:space="preserve">for the </w:t>
      </w:r>
      <w:r w:rsidR="000A2A8A" w:rsidRPr="008670B4">
        <w:rPr>
          <w:rFonts w:ascii="Arial" w:hAnsi="Arial" w:cs="Arial"/>
          <w:sz w:val="18"/>
          <w:szCs w:val="18"/>
        </w:rPr>
        <w:t>six</w:t>
      </w:r>
      <w:r w:rsidR="00B848CE" w:rsidRPr="008670B4">
        <w:rPr>
          <w:rFonts w:ascii="Arial" w:hAnsi="Arial" w:cs="Arial"/>
          <w:sz w:val="18"/>
          <w:szCs w:val="18"/>
          <w:lang w:val="en-US"/>
        </w:rPr>
        <w:t xml:space="preserve"> months </w:t>
      </w:r>
      <w:r w:rsidRPr="008670B4">
        <w:rPr>
          <w:rFonts w:ascii="Arial" w:hAnsi="Arial" w:cs="Arial"/>
          <w:sz w:val="18"/>
          <w:szCs w:val="18"/>
          <w:lang w:val="en-US"/>
        </w:rPr>
        <w:t>ended 3</w:t>
      </w:r>
      <w:r w:rsidR="00E61D5E" w:rsidRPr="008670B4">
        <w:rPr>
          <w:rFonts w:ascii="Arial" w:hAnsi="Arial" w:cs="Arial"/>
          <w:sz w:val="18"/>
          <w:szCs w:val="18"/>
          <w:lang w:val="en-US"/>
        </w:rPr>
        <w:t>0</w:t>
      </w:r>
      <w:r w:rsidRPr="008670B4">
        <w:rPr>
          <w:rFonts w:ascii="Arial" w:hAnsi="Arial" w:cs="Arial"/>
          <w:sz w:val="18"/>
          <w:szCs w:val="18"/>
          <w:lang w:val="en-US"/>
        </w:rPr>
        <w:t xml:space="preserve"> </w:t>
      </w:r>
      <w:r w:rsidR="00E61D5E" w:rsidRPr="008670B4">
        <w:rPr>
          <w:rFonts w:ascii="Arial" w:hAnsi="Arial" w:cs="Arial"/>
          <w:sz w:val="18"/>
          <w:szCs w:val="18"/>
          <w:lang w:val="en-US"/>
        </w:rPr>
        <w:t>June</w:t>
      </w:r>
      <w:r w:rsidRPr="008670B4">
        <w:rPr>
          <w:rFonts w:ascii="Arial" w:hAnsi="Arial" w:cs="Arial"/>
          <w:sz w:val="18"/>
          <w:szCs w:val="18"/>
          <w:lang w:val="en-US"/>
        </w:rPr>
        <w:t xml:space="preserve"> 20</w:t>
      </w:r>
      <w:r w:rsidR="00353BAF" w:rsidRPr="008670B4">
        <w:rPr>
          <w:rFonts w:ascii="Arial" w:hAnsi="Arial" w:cs="Arial"/>
          <w:sz w:val="18"/>
          <w:szCs w:val="18"/>
          <w:lang w:val="en-US"/>
        </w:rPr>
        <w:t>2</w:t>
      </w:r>
      <w:r w:rsidR="00DB6D60" w:rsidRPr="008670B4">
        <w:rPr>
          <w:rFonts w:ascii="Arial" w:hAnsi="Arial" w:cs="Arial"/>
          <w:sz w:val="18"/>
          <w:szCs w:val="18"/>
          <w:lang w:val="en-US"/>
        </w:rPr>
        <w:t>1</w:t>
      </w:r>
      <w:r w:rsidRPr="008670B4">
        <w:rPr>
          <w:rFonts w:ascii="Arial" w:hAnsi="Arial" w:cs="Arial"/>
          <w:sz w:val="18"/>
          <w:szCs w:val="18"/>
          <w:lang w:val="en-US"/>
        </w:rPr>
        <w:t xml:space="preserve"> (</w:t>
      </w:r>
      <w:r w:rsidR="000A2A8A" w:rsidRPr="008670B4">
        <w:rPr>
          <w:rFonts w:ascii="Arial" w:hAnsi="Arial" w:cs="Arial"/>
          <w:sz w:val="18"/>
          <w:szCs w:val="18"/>
        </w:rPr>
        <w:t>six</w:t>
      </w:r>
      <w:r w:rsidR="000A2A8A" w:rsidRPr="008670B4">
        <w:rPr>
          <w:rFonts w:ascii="Arial" w:hAnsi="Arial" w:cs="Arial"/>
          <w:sz w:val="18"/>
          <w:szCs w:val="18"/>
          <w:lang w:val="en-US"/>
        </w:rPr>
        <w:t xml:space="preserve"> </w:t>
      </w:r>
      <w:r w:rsidR="00B848CE" w:rsidRPr="008670B4">
        <w:rPr>
          <w:rFonts w:ascii="Arial" w:hAnsi="Arial" w:cs="Arial"/>
          <w:sz w:val="18"/>
          <w:szCs w:val="18"/>
          <w:lang w:val="en-US"/>
        </w:rPr>
        <w:t xml:space="preserve">months ended </w:t>
      </w:r>
      <w:r w:rsidRPr="008670B4">
        <w:rPr>
          <w:rFonts w:ascii="Arial" w:hAnsi="Arial" w:cs="Arial"/>
          <w:sz w:val="18"/>
          <w:szCs w:val="18"/>
          <w:lang w:val="en-US"/>
        </w:rPr>
        <w:t>3</w:t>
      </w:r>
      <w:r w:rsidR="00E61D5E" w:rsidRPr="008670B4">
        <w:rPr>
          <w:rFonts w:ascii="Arial" w:hAnsi="Arial" w:cs="Arial"/>
          <w:sz w:val="18"/>
          <w:szCs w:val="18"/>
          <w:lang w:val="en-US"/>
        </w:rPr>
        <w:t>0</w:t>
      </w:r>
      <w:r w:rsidRPr="008670B4">
        <w:rPr>
          <w:rFonts w:ascii="Arial" w:hAnsi="Arial" w:cs="Arial"/>
          <w:sz w:val="18"/>
          <w:szCs w:val="18"/>
          <w:lang w:val="en-US"/>
        </w:rPr>
        <w:t xml:space="preserve"> </w:t>
      </w:r>
      <w:r w:rsidR="00E61D5E" w:rsidRPr="008670B4">
        <w:rPr>
          <w:rFonts w:ascii="Arial" w:hAnsi="Arial" w:cs="Arial"/>
          <w:sz w:val="18"/>
          <w:szCs w:val="18"/>
          <w:lang w:val="en-US"/>
        </w:rPr>
        <w:t xml:space="preserve">June </w:t>
      </w:r>
      <w:r w:rsidR="004A5E43" w:rsidRPr="008670B4">
        <w:rPr>
          <w:rFonts w:ascii="Arial" w:hAnsi="Arial" w:cs="Arial"/>
          <w:sz w:val="18"/>
          <w:szCs w:val="18"/>
          <w:lang w:val="en-US"/>
        </w:rPr>
        <w:t>2021</w:t>
      </w:r>
      <w:r w:rsidR="00CF0C9B" w:rsidRPr="008670B4">
        <w:rPr>
          <w:rFonts w:ascii="Arial" w:hAnsi="Arial" w:cs="Arial"/>
          <w:sz w:val="18"/>
          <w:szCs w:val="18"/>
          <w:lang w:val="en-US"/>
        </w:rPr>
        <w:t xml:space="preserve">: </w:t>
      </w:r>
      <w:r w:rsidR="00E23662">
        <w:rPr>
          <w:rFonts w:ascii="Arial" w:hAnsi="Arial" w:cs="Arial"/>
          <w:sz w:val="18"/>
          <w:szCs w:val="18"/>
          <w:lang w:val="en-US"/>
        </w:rPr>
        <w:t>£</w:t>
      </w:r>
      <w:r w:rsidR="004A5E43" w:rsidRPr="008670B4">
        <w:rPr>
          <w:rFonts w:ascii="Arial" w:hAnsi="Arial" w:cs="Arial"/>
          <w:sz w:val="18"/>
          <w:szCs w:val="18"/>
          <w:lang w:val="en-US"/>
        </w:rPr>
        <w:t>1,368,937)</w:t>
      </w:r>
      <w:r w:rsidRPr="008670B4">
        <w:rPr>
          <w:rFonts w:ascii="Arial" w:hAnsi="Arial" w:cs="Arial"/>
          <w:sz w:val="18"/>
          <w:szCs w:val="18"/>
          <w:lang w:val="en-US"/>
        </w:rPr>
        <w:t xml:space="preserve"> and the weighted average number of shares in issue in the period ended </w:t>
      </w:r>
      <w:r w:rsidR="00E61D5E" w:rsidRPr="008670B4">
        <w:rPr>
          <w:rFonts w:ascii="Arial" w:hAnsi="Arial" w:cs="Arial"/>
          <w:sz w:val="18"/>
          <w:szCs w:val="18"/>
          <w:lang w:val="en-US"/>
        </w:rPr>
        <w:t xml:space="preserve">30 June </w:t>
      </w:r>
      <w:r w:rsidR="00CA5BEE" w:rsidRPr="008670B4">
        <w:rPr>
          <w:rFonts w:ascii="Arial" w:hAnsi="Arial" w:cs="Arial"/>
          <w:sz w:val="18"/>
          <w:szCs w:val="18"/>
          <w:lang w:val="en-US"/>
        </w:rPr>
        <w:t xml:space="preserve">2022 </w:t>
      </w:r>
      <w:r w:rsidRPr="008670B4">
        <w:rPr>
          <w:rFonts w:ascii="Arial" w:hAnsi="Arial" w:cs="Arial"/>
          <w:sz w:val="18"/>
          <w:szCs w:val="18"/>
          <w:lang w:val="en-US"/>
        </w:rPr>
        <w:t>of</w:t>
      </w:r>
      <w:r w:rsidR="00591001" w:rsidRPr="008670B4">
        <w:rPr>
          <w:rFonts w:ascii="Arial" w:hAnsi="Arial" w:cs="Arial"/>
          <w:sz w:val="18"/>
          <w:szCs w:val="18"/>
          <w:lang w:val="en-US"/>
        </w:rPr>
        <w:t xml:space="preserve"> 1,014,895,493</w:t>
      </w:r>
      <w:r w:rsidRPr="008670B4">
        <w:rPr>
          <w:rFonts w:ascii="Arial" w:hAnsi="Arial" w:cs="Arial"/>
          <w:sz w:val="18"/>
          <w:szCs w:val="18"/>
          <w:lang w:val="en-US"/>
        </w:rPr>
        <w:t xml:space="preserve"> (</w:t>
      </w:r>
      <w:r w:rsidR="000A2A8A" w:rsidRPr="008670B4">
        <w:rPr>
          <w:rFonts w:ascii="Arial" w:hAnsi="Arial" w:cs="Arial"/>
          <w:sz w:val="18"/>
          <w:szCs w:val="18"/>
        </w:rPr>
        <w:t>six</w:t>
      </w:r>
      <w:r w:rsidR="00B848CE" w:rsidRPr="008670B4">
        <w:rPr>
          <w:rFonts w:ascii="Arial" w:hAnsi="Arial" w:cs="Arial"/>
          <w:sz w:val="18"/>
          <w:szCs w:val="18"/>
          <w:lang w:val="en-US"/>
        </w:rPr>
        <w:t xml:space="preserve"> months ended </w:t>
      </w:r>
      <w:r w:rsidRPr="008670B4">
        <w:rPr>
          <w:rFonts w:ascii="Arial" w:hAnsi="Arial" w:cs="Arial"/>
          <w:sz w:val="18"/>
          <w:szCs w:val="18"/>
          <w:lang w:val="en-US"/>
        </w:rPr>
        <w:t>3</w:t>
      </w:r>
      <w:r w:rsidR="00E61D5E" w:rsidRPr="008670B4">
        <w:rPr>
          <w:rFonts w:ascii="Arial" w:hAnsi="Arial" w:cs="Arial"/>
          <w:sz w:val="18"/>
          <w:szCs w:val="18"/>
          <w:lang w:val="en-US"/>
        </w:rPr>
        <w:t>0</w:t>
      </w:r>
      <w:r w:rsidRPr="008670B4">
        <w:rPr>
          <w:rFonts w:ascii="Arial" w:hAnsi="Arial" w:cs="Arial"/>
          <w:sz w:val="18"/>
          <w:szCs w:val="18"/>
          <w:lang w:val="en-US"/>
        </w:rPr>
        <w:t xml:space="preserve"> </w:t>
      </w:r>
      <w:r w:rsidR="00E61D5E" w:rsidRPr="008670B4">
        <w:rPr>
          <w:rFonts w:ascii="Arial" w:hAnsi="Arial" w:cs="Arial"/>
          <w:sz w:val="18"/>
          <w:szCs w:val="18"/>
          <w:lang w:val="en-US"/>
        </w:rPr>
        <w:t xml:space="preserve">June </w:t>
      </w:r>
      <w:r w:rsidR="004A5E43" w:rsidRPr="008670B4">
        <w:rPr>
          <w:rFonts w:ascii="Arial" w:hAnsi="Arial" w:cs="Arial"/>
          <w:sz w:val="18"/>
          <w:szCs w:val="18"/>
          <w:lang w:val="en-US"/>
        </w:rPr>
        <w:t>2021</w:t>
      </w:r>
      <w:r w:rsidRPr="008670B4">
        <w:rPr>
          <w:rFonts w:ascii="Arial" w:hAnsi="Arial" w:cs="Arial"/>
          <w:sz w:val="18"/>
          <w:szCs w:val="18"/>
          <w:lang w:val="en-US"/>
        </w:rPr>
        <w:t>:</w:t>
      </w:r>
      <w:r w:rsidR="004A5E43" w:rsidRPr="008670B4">
        <w:rPr>
          <w:rFonts w:ascii="Arial" w:hAnsi="Arial" w:cs="Arial"/>
          <w:sz w:val="18"/>
          <w:szCs w:val="18"/>
          <w:lang w:val="en-US"/>
        </w:rPr>
        <w:t xml:space="preserve"> </w:t>
      </w:r>
      <w:r w:rsidR="004A5E43" w:rsidRPr="008670B4">
        <w:rPr>
          <w:rFonts w:ascii="Arial" w:hAnsi="Arial" w:cs="Arial"/>
          <w:bCs/>
          <w:sz w:val="18"/>
          <w:szCs w:val="18"/>
        </w:rPr>
        <w:t>971,629,460</w:t>
      </w:r>
      <w:r w:rsidRPr="008670B4">
        <w:rPr>
          <w:rFonts w:ascii="Arial" w:hAnsi="Arial" w:cs="Arial"/>
          <w:sz w:val="18"/>
          <w:szCs w:val="18"/>
          <w:lang w:val="en-US"/>
        </w:rPr>
        <w:t>).</w:t>
      </w:r>
    </w:p>
    <w:p w14:paraId="4EF16A9C" w14:textId="77777777" w:rsidR="00ED0629" w:rsidRPr="00CA5BEE" w:rsidRDefault="00ED0629" w:rsidP="0040304C">
      <w:pPr>
        <w:numPr>
          <w:ilvl w:val="12"/>
          <w:numId w:val="0"/>
        </w:numPr>
        <w:tabs>
          <w:tab w:val="left" w:pos="709"/>
          <w:tab w:val="left" w:pos="1151"/>
          <w:tab w:val="decimal" w:pos="6049"/>
          <w:tab w:val="decimal" w:pos="7342"/>
          <w:tab w:val="decimal" w:pos="8640"/>
          <w:tab w:val="decimal" w:pos="9836"/>
        </w:tabs>
        <w:suppressAutoHyphens/>
        <w:jc w:val="both"/>
        <w:rPr>
          <w:rFonts w:ascii="Arial" w:hAnsi="Arial" w:cs="Arial"/>
          <w:sz w:val="18"/>
          <w:szCs w:val="18"/>
          <w:lang w:val="en-US"/>
        </w:rPr>
      </w:pPr>
    </w:p>
    <w:p w14:paraId="1E93C4C1" w14:textId="0D8FE570" w:rsidR="00D70540" w:rsidRPr="00CA5BEE" w:rsidRDefault="00ED0629" w:rsidP="0040304C">
      <w:pPr>
        <w:numPr>
          <w:ilvl w:val="12"/>
          <w:numId w:val="0"/>
        </w:numPr>
        <w:tabs>
          <w:tab w:val="left" w:pos="709"/>
          <w:tab w:val="left" w:pos="1151"/>
          <w:tab w:val="decimal" w:pos="6049"/>
          <w:tab w:val="decimal" w:pos="7342"/>
          <w:tab w:val="decimal" w:pos="8640"/>
          <w:tab w:val="decimal" w:pos="9836"/>
        </w:tabs>
        <w:suppressAutoHyphens/>
        <w:jc w:val="both"/>
        <w:rPr>
          <w:rFonts w:ascii="Arial" w:hAnsi="Arial" w:cs="Arial"/>
          <w:sz w:val="18"/>
          <w:szCs w:val="18"/>
          <w:lang w:val="en-US"/>
        </w:rPr>
      </w:pPr>
      <w:r w:rsidRPr="00CA5BEE">
        <w:rPr>
          <w:rFonts w:ascii="Arial" w:hAnsi="Arial" w:cs="Arial"/>
          <w:sz w:val="18"/>
          <w:szCs w:val="18"/>
          <w:lang w:val="en-US"/>
        </w:rPr>
        <w:t xml:space="preserve">No diluted earnings per share is presented for the </w:t>
      </w:r>
      <w:r w:rsidR="000A2A8A" w:rsidRPr="00CA5BEE">
        <w:rPr>
          <w:rFonts w:ascii="Arial" w:hAnsi="Arial" w:cs="Arial"/>
          <w:sz w:val="18"/>
          <w:szCs w:val="18"/>
        </w:rPr>
        <w:t>six</w:t>
      </w:r>
      <w:r w:rsidR="00B848CE" w:rsidRPr="00CA5BEE">
        <w:rPr>
          <w:rFonts w:ascii="Arial" w:hAnsi="Arial" w:cs="Arial"/>
          <w:sz w:val="18"/>
          <w:szCs w:val="18"/>
          <w:lang w:val="en-US"/>
        </w:rPr>
        <w:t xml:space="preserve"> months </w:t>
      </w:r>
      <w:r w:rsidRPr="00CA5BEE">
        <w:rPr>
          <w:rFonts w:ascii="Arial" w:hAnsi="Arial" w:cs="Arial"/>
          <w:sz w:val="18"/>
          <w:szCs w:val="18"/>
          <w:lang w:val="en-US"/>
        </w:rPr>
        <w:t>ended 3</w:t>
      </w:r>
      <w:r w:rsidR="004A6AAF" w:rsidRPr="00CA5BEE">
        <w:rPr>
          <w:rFonts w:ascii="Arial" w:hAnsi="Arial" w:cs="Arial"/>
          <w:sz w:val="18"/>
          <w:szCs w:val="18"/>
          <w:lang w:val="en-US"/>
        </w:rPr>
        <w:t>0</w:t>
      </w:r>
      <w:r w:rsidRPr="00CA5BEE">
        <w:rPr>
          <w:rFonts w:ascii="Arial" w:hAnsi="Arial" w:cs="Arial"/>
          <w:sz w:val="18"/>
          <w:szCs w:val="18"/>
          <w:lang w:val="en-US"/>
        </w:rPr>
        <w:t xml:space="preserve"> </w:t>
      </w:r>
      <w:r w:rsidR="004A6AAF" w:rsidRPr="00CA5BEE">
        <w:rPr>
          <w:rFonts w:ascii="Arial" w:hAnsi="Arial" w:cs="Arial"/>
          <w:sz w:val="18"/>
          <w:szCs w:val="18"/>
          <w:lang w:val="en-US"/>
        </w:rPr>
        <w:t>June</w:t>
      </w:r>
      <w:r w:rsidRPr="00CA5BEE">
        <w:rPr>
          <w:rFonts w:ascii="Arial" w:hAnsi="Arial" w:cs="Arial"/>
          <w:sz w:val="18"/>
          <w:szCs w:val="18"/>
          <w:lang w:val="en-US"/>
        </w:rPr>
        <w:t xml:space="preserve"> </w:t>
      </w:r>
      <w:r w:rsidR="00CA5BEE" w:rsidRPr="00CA5BEE">
        <w:rPr>
          <w:rFonts w:ascii="Arial" w:hAnsi="Arial" w:cs="Arial"/>
          <w:sz w:val="18"/>
          <w:szCs w:val="18"/>
          <w:lang w:val="en-US"/>
        </w:rPr>
        <w:t>202</w:t>
      </w:r>
      <w:r w:rsidR="00CA5BEE" w:rsidRPr="005F6D82">
        <w:rPr>
          <w:rFonts w:ascii="Arial" w:hAnsi="Arial" w:cs="Arial"/>
          <w:sz w:val="18"/>
          <w:szCs w:val="18"/>
          <w:lang w:val="en-US"/>
        </w:rPr>
        <w:t>2</w:t>
      </w:r>
      <w:r w:rsidR="00CA5BEE" w:rsidRPr="00CA5BEE">
        <w:rPr>
          <w:rFonts w:ascii="Arial" w:hAnsi="Arial" w:cs="Arial"/>
          <w:sz w:val="18"/>
          <w:szCs w:val="18"/>
          <w:lang w:val="en-US"/>
        </w:rPr>
        <w:t xml:space="preserve"> </w:t>
      </w:r>
      <w:r w:rsidR="00B848CE" w:rsidRPr="00CA5BEE">
        <w:rPr>
          <w:rFonts w:ascii="Arial" w:hAnsi="Arial" w:cs="Arial"/>
          <w:sz w:val="18"/>
          <w:szCs w:val="18"/>
          <w:lang w:val="en-US"/>
        </w:rPr>
        <w:t xml:space="preserve">or </w:t>
      </w:r>
      <w:r w:rsidR="000A2A8A" w:rsidRPr="00CA5BEE">
        <w:rPr>
          <w:rFonts w:ascii="Arial" w:hAnsi="Arial" w:cs="Arial"/>
          <w:sz w:val="18"/>
          <w:szCs w:val="18"/>
        </w:rPr>
        <w:t>six</w:t>
      </w:r>
      <w:r w:rsidR="004A6AAF" w:rsidRPr="00CA5BEE">
        <w:rPr>
          <w:rFonts w:ascii="Arial" w:hAnsi="Arial" w:cs="Arial"/>
          <w:sz w:val="18"/>
          <w:szCs w:val="18"/>
          <w:lang w:val="en-US"/>
        </w:rPr>
        <w:t xml:space="preserve"> months ended 30 June </w:t>
      </w:r>
      <w:r w:rsidR="00CA5BEE" w:rsidRPr="00CA5BEE">
        <w:rPr>
          <w:rFonts w:ascii="Arial" w:hAnsi="Arial" w:cs="Arial"/>
          <w:sz w:val="18"/>
          <w:szCs w:val="18"/>
          <w:lang w:val="en-US"/>
        </w:rPr>
        <w:t>202</w:t>
      </w:r>
      <w:r w:rsidR="00CA5BEE" w:rsidRPr="005F6D82">
        <w:rPr>
          <w:rFonts w:ascii="Arial" w:hAnsi="Arial" w:cs="Arial"/>
          <w:sz w:val="18"/>
          <w:szCs w:val="18"/>
          <w:lang w:val="en-US"/>
        </w:rPr>
        <w:t>1</w:t>
      </w:r>
      <w:r w:rsidR="00CA5BEE" w:rsidRPr="00CA5BEE">
        <w:rPr>
          <w:rFonts w:ascii="Arial" w:hAnsi="Arial" w:cs="Arial"/>
          <w:sz w:val="18"/>
          <w:szCs w:val="18"/>
          <w:lang w:val="en-US"/>
        </w:rPr>
        <w:t xml:space="preserve"> </w:t>
      </w:r>
      <w:r w:rsidRPr="00CA5BEE">
        <w:rPr>
          <w:rFonts w:ascii="Arial" w:hAnsi="Arial" w:cs="Arial"/>
          <w:sz w:val="18"/>
          <w:szCs w:val="18"/>
          <w:lang w:val="en-US"/>
        </w:rPr>
        <w:t xml:space="preserve">as the effect on the exercise of share options would be </w:t>
      </w:r>
      <w:r w:rsidR="002F6C21" w:rsidRPr="00CA5BEE">
        <w:rPr>
          <w:rFonts w:ascii="Arial" w:hAnsi="Arial" w:cs="Arial"/>
          <w:sz w:val="18"/>
          <w:szCs w:val="18"/>
          <w:lang w:val="en-US"/>
        </w:rPr>
        <w:t>anti-dilutive</w:t>
      </w:r>
      <w:r w:rsidRPr="00CA5BEE">
        <w:rPr>
          <w:rFonts w:ascii="Arial" w:hAnsi="Arial" w:cs="Arial"/>
          <w:sz w:val="18"/>
          <w:szCs w:val="18"/>
          <w:lang w:val="en-US"/>
        </w:rPr>
        <w:t>.</w:t>
      </w:r>
    </w:p>
    <w:p w14:paraId="00FEC6B5" w14:textId="77777777" w:rsidR="00AD34B2" w:rsidRPr="00CA5BEE" w:rsidRDefault="00AD34B2" w:rsidP="00A96B74">
      <w:pPr>
        <w:tabs>
          <w:tab w:val="left" w:pos="346"/>
          <w:tab w:val="left" w:pos="709"/>
          <w:tab w:val="left" w:pos="1151"/>
          <w:tab w:val="decimal" w:pos="6049"/>
          <w:tab w:val="decimal" w:pos="7342"/>
          <w:tab w:val="decimal" w:pos="8640"/>
          <w:tab w:val="decimal" w:pos="9836"/>
        </w:tabs>
        <w:suppressAutoHyphens/>
        <w:spacing w:line="234" w:lineRule="exact"/>
        <w:jc w:val="both"/>
        <w:rPr>
          <w:rFonts w:ascii="Arial" w:hAnsi="Arial" w:cs="Arial"/>
          <w:bCs/>
          <w:sz w:val="18"/>
          <w:szCs w:val="18"/>
        </w:rPr>
      </w:pPr>
    </w:p>
    <w:p w14:paraId="4919B876" w14:textId="2B16CACA" w:rsidR="00A96B74" w:rsidRPr="00CA5BEE" w:rsidRDefault="00567E7A" w:rsidP="00D20C56">
      <w:pPr>
        <w:keepNext/>
        <w:tabs>
          <w:tab w:val="right" w:pos="5670"/>
          <w:tab w:val="right" w:pos="7371"/>
          <w:tab w:val="right" w:pos="9072"/>
        </w:tabs>
        <w:spacing w:after="120"/>
        <w:jc w:val="both"/>
        <w:rPr>
          <w:rFonts w:ascii="Arial" w:hAnsi="Arial" w:cs="Arial"/>
          <w:sz w:val="18"/>
          <w:szCs w:val="18"/>
        </w:rPr>
      </w:pPr>
      <w:r>
        <w:rPr>
          <w:rFonts w:ascii="Arial" w:hAnsi="Arial" w:cs="Arial"/>
          <w:b/>
          <w:bCs/>
          <w:sz w:val="20"/>
        </w:rPr>
        <w:t>1</w:t>
      </w:r>
      <w:r w:rsidR="00490FF5">
        <w:rPr>
          <w:rFonts w:ascii="Arial" w:hAnsi="Arial" w:cs="Arial"/>
          <w:b/>
          <w:bCs/>
          <w:sz w:val="20"/>
        </w:rPr>
        <w:t>0</w:t>
      </w:r>
      <w:r w:rsidR="00A96B74" w:rsidRPr="00CA5BEE">
        <w:rPr>
          <w:rFonts w:ascii="Arial" w:hAnsi="Arial" w:cs="Arial"/>
          <w:b/>
          <w:bCs/>
          <w:sz w:val="20"/>
        </w:rPr>
        <w:t xml:space="preserve">. </w:t>
      </w:r>
      <w:r w:rsidR="00861F56" w:rsidRPr="00CA5BEE">
        <w:rPr>
          <w:rFonts w:ascii="Arial" w:hAnsi="Arial" w:cs="Arial"/>
          <w:b/>
          <w:sz w:val="20"/>
        </w:rPr>
        <w:t xml:space="preserve">Events </w:t>
      </w:r>
      <w:r w:rsidR="001169F9" w:rsidRPr="00CA5BEE">
        <w:rPr>
          <w:rFonts w:ascii="Arial" w:hAnsi="Arial" w:cs="Arial"/>
          <w:b/>
          <w:sz w:val="20"/>
        </w:rPr>
        <w:t>after the Reporting Date</w:t>
      </w:r>
    </w:p>
    <w:p w14:paraId="6A1C3E51" w14:textId="13BCDB30" w:rsidR="00913F01" w:rsidRPr="005F6D82" w:rsidRDefault="00334128" w:rsidP="00B604BB">
      <w:pPr>
        <w:rPr>
          <w:highlight w:val="yellow"/>
        </w:rPr>
      </w:pPr>
      <w:r w:rsidRPr="00CF1DC5">
        <w:rPr>
          <w:rFonts w:ascii="Arial" w:hAnsi="Arial" w:cs="Arial"/>
          <w:bCs/>
          <w:sz w:val="18"/>
          <w:szCs w:val="18"/>
        </w:rPr>
        <w:t>There were no events to report after 30 June 2022.</w:t>
      </w:r>
    </w:p>
    <w:p w14:paraId="588F87D6" w14:textId="77777777" w:rsidR="00AD34B2" w:rsidRPr="00367DB2" w:rsidRDefault="00AD34B2" w:rsidP="004841EB">
      <w:pPr>
        <w:tabs>
          <w:tab w:val="right" w:pos="5670"/>
          <w:tab w:val="right" w:pos="7371"/>
          <w:tab w:val="right" w:pos="9072"/>
        </w:tabs>
        <w:jc w:val="both"/>
        <w:rPr>
          <w:rFonts w:ascii="Arial" w:hAnsi="Arial" w:cs="Arial"/>
          <w:sz w:val="18"/>
          <w:szCs w:val="18"/>
          <w:highlight w:val="yellow"/>
        </w:rPr>
      </w:pPr>
    </w:p>
    <w:p w14:paraId="155AF17D" w14:textId="77777777" w:rsidR="00282844" w:rsidRPr="007C3B91" w:rsidRDefault="00282844" w:rsidP="004841EB">
      <w:pPr>
        <w:tabs>
          <w:tab w:val="right" w:pos="5670"/>
          <w:tab w:val="right" w:pos="7371"/>
          <w:tab w:val="right" w:pos="9072"/>
        </w:tabs>
        <w:jc w:val="both"/>
        <w:rPr>
          <w:rFonts w:ascii="Arial" w:hAnsi="Arial" w:cs="Arial"/>
          <w:sz w:val="18"/>
          <w:szCs w:val="18"/>
          <w:highlight w:val="yellow"/>
        </w:rPr>
      </w:pPr>
    </w:p>
    <w:p w14:paraId="5CEF0C98" w14:textId="246E7622" w:rsidR="005E01DE" w:rsidRDefault="00567E7A" w:rsidP="00D20C56">
      <w:pPr>
        <w:keepNext/>
        <w:shd w:val="clear" w:color="auto" w:fill="FFFFFF"/>
        <w:tabs>
          <w:tab w:val="right" w:pos="9878"/>
        </w:tabs>
        <w:spacing w:after="120"/>
        <w:jc w:val="both"/>
        <w:rPr>
          <w:rFonts w:ascii="Arial" w:hAnsi="Arial" w:cs="Arial"/>
          <w:sz w:val="18"/>
          <w:szCs w:val="18"/>
        </w:rPr>
      </w:pPr>
      <w:r>
        <w:rPr>
          <w:rFonts w:ascii="Arial" w:hAnsi="Arial" w:cs="Arial"/>
          <w:b/>
          <w:bCs/>
          <w:sz w:val="20"/>
        </w:rPr>
        <w:t>1</w:t>
      </w:r>
      <w:r w:rsidR="00490FF5">
        <w:rPr>
          <w:rFonts w:ascii="Arial" w:hAnsi="Arial" w:cs="Arial"/>
          <w:b/>
          <w:bCs/>
          <w:sz w:val="20"/>
        </w:rPr>
        <w:t>1</w:t>
      </w:r>
      <w:r w:rsidR="005E01DE" w:rsidRPr="003403FC">
        <w:rPr>
          <w:rFonts w:ascii="Arial" w:hAnsi="Arial" w:cs="Arial"/>
          <w:b/>
          <w:bCs/>
          <w:sz w:val="20"/>
        </w:rPr>
        <w:t xml:space="preserve">. </w:t>
      </w:r>
      <w:r w:rsidR="005E01DE" w:rsidRPr="003403FC">
        <w:rPr>
          <w:rFonts w:ascii="Arial" w:hAnsi="Arial" w:cs="Arial"/>
          <w:b/>
          <w:sz w:val="20"/>
        </w:rPr>
        <w:t>Approval of interim financial statements</w:t>
      </w:r>
    </w:p>
    <w:p w14:paraId="59C3084C" w14:textId="59C356E9" w:rsidR="005E01DE" w:rsidRPr="004F192C" w:rsidRDefault="005E01DE" w:rsidP="005E01DE">
      <w:pPr>
        <w:tabs>
          <w:tab w:val="right" w:pos="5670"/>
          <w:tab w:val="right" w:pos="7371"/>
          <w:tab w:val="right" w:pos="9072"/>
        </w:tabs>
        <w:jc w:val="both"/>
        <w:rPr>
          <w:rFonts w:ascii="Arial" w:hAnsi="Arial" w:cs="Arial"/>
          <w:sz w:val="18"/>
          <w:szCs w:val="18"/>
        </w:rPr>
      </w:pPr>
      <w:r>
        <w:rPr>
          <w:rFonts w:ascii="Arial" w:hAnsi="Arial" w:cs="Arial"/>
          <w:sz w:val="18"/>
          <w:szCs w:val="18"/>
        </w:rPr>
        <w:t xml:space="preserve">The Condensed interim financial statements were approved by the Board of </w:t>
      </w:r>
      <w:r w:rsidRPr="00C77D28">
        <w:rPr>
          <w:rFonts w:ascii="Arial" w:hAnsi="Arial" w:cs="Arial"/>
          <w:sz w:val="18"/>
          <w:szCs w:val="18"/>
        </w:rPr>
        <w:t>Directors on</w:t>
      </w:r>
      <w:r w:rsidR="00783CCB" w:rsidRPr="00C77D28">
        <w:rPr>
          <w:rFonts w:ascii="Arial" w:hAnsi="Arial" w:cs="Arial"/>
          <w:sz w:val="18"/>
          <w:szCs w:val="18"/>
        </w:rPr>
        <w:t xml:space="preserve"> </w:t>
      </w:r>
      <w:r w:rsidR="0051151D" w:rsidRPr="00C77D28">
        <w:rPr>
          <w:rFonts w:ascii="Arial" w:hAnsi="Arial" w:cs="Arial"/>
          <w:sz w:val="18"/>
          <w:szCs w:val="18"/>
        </w:rPr>
        <w:t>21 September</w:t>
      </w:r>
      <w:r w:rsidR="006325F5" w:rsidRPr="00C77D28">
        <w:rPr>
          <w:rFonts w:ascii="Arial" w:hAnsi="Arial" w:cs="Arial"/>
          <w:sz w:val="18"/>
          <w:szCs w:val="18"/>
        </w:rPr>
        <w:t xml:space="preserve"> 20</w:t>
      </w:r>
      <w:r w:rsidR="00DB6D60" w:rsidRPr="00C77D28">
        <w:rPr>
          <w:rFonts w:ascii="Arial" w:hAnsi="Arial" w:cs="Arial"/>
          <w:sz w:val="18"/>
          <w:szCs w:val="18"/>
        </w:rPr>
        <w:t>2</w:t>
      </w:r>
      <w:r w:rsidR="004A5E43" w:rsidRPr="00C77D28">
        <w:rPr>
          <w:rFonts w:ascii="Arial" w:hAnsi="Arial" w:cs="Arial"/>
          <w:sz w:val="18"/>
          <w:szCs w:val="18"/>
        </w:rPr>
        <w:t>2</w:t>
      </w:r>
      <w:r w:rsidRPr="00C77D28">
        <w:rPr>
          <w:rFonts w:ascii="Arial" w:hAnsi="Arial" w:cs="Arial"/>
          <w:sz w:val="18"/>
          <w:szCs w:val="18"/>
        </w:rPr>
        <w:t>.</w:t>
      </w:r>
    </w:p>
    <w:p w14:paraId="2A2226B9" w14:textId="77777777" w:rsidR="00DF649D" w:rsidRDefault="00DF649D" w:rsidP="00CE5F28">
      <w:pPr>
        <w:shd w:val="clear" w:color="auto" w:fill="FFFFFF"/>
        <w:tabs>
          <w:tab w:val="right" w:pos="9878"/>
        </w:tabs>
        <w:rPr>
          <w:rFonts w:ascii="Arial" w:hAnsi="Arial" w:cs="Arial"/>
          <w:bCs/>
          <w:sz w:val="18"/>
          <w:szCs w:val="18"/>
        </w:rPr>
      </w:pPr>
    </w:p>
    <w:p w14:paraId="7B345C3F" w14:textId="77777777" w:rsidR="00DF649D" w:rsidRDefault="00DF649D" w:rsidP="00CE5F28">
      <w:pPr>
        <w:shd w:val="clear" w:color="auto" w:fill="FFFFFF"/>
        <w:tabs>
          <w:tab w:val="right" w:pos="9878"/>
        </w:tabs>
        <w:rPr>
          <w:rFonts w:ascii="Arial" w:hAnsi="Arial" w:cs="Arial"/>
          <w:bCs/>
          <w:sz w:val="18"/>
          <w:szCs w:val="18"/>
        </w:rPr>
      </w:pPr>
    </w:p>
    <w:p w14:paraId="22C3E34F" w14:textId="77777777" w:rsidR="004C38B6" w:rsidRPr="00E63C28" w:rsidRDefault="004C38B6" w:rsidP="00CE5F28">
      <w:pPr>
        <w:shd w:val="clear" w:color="auto" w:fill="FFFFFF"/>
        <w:tabs>
          <w:tab w:val="right" w:pos="9878"/>
        </w:tabs>
        <w:rPr>
          <w:rFonts w:ascii="Arial" w:hAnsi="Arial" w:cs="Arial"/>
          <w:sz w:val="18"/>
          <w:szCs w:val="18"/>
        </w:rPr>
      </w:pPr>
    </w:p>
    <w:p w14:paraId="4FF42271" w14:textId="77777777" w:rsidR="005E01DE" w:rsidRDefault="005E01DE" w:rsidP="00DC03CE">
      <w:pPr>
        <w:tabs>
          <w:tab w:val="left" w:pos="346"/>
          <w:tab w:val="left" w:pos="709"/>
          <w:tab w:val="left" w:pos="1151"/>
          <w:tab w:val="decimal" w:pos="6049"/>
          <w:tab w:val="decimal" w:pos="7342"/>
          <w:tab w:val="decimal" w:pos="8640"/>
          <w:tab w:val="decimal" w:pos="9836"/>
        </w:tabs>
        <w:suppressAutoHyphens/>
        <w:spacing w:line="234" w:lineRule="exact"/>
        <w:jc w:val="both"/>
        <w:rPr>
          <w:rFonts w:ascii="Arial" w:hAnsi="Arial" w:cs="Arial"/>
          <w:bCs/>
          <w:sz w:val="18"/>
          <w:szCs w:val="18"/>
        </w:rPr>
      </w:pPr>
    </w:p>
    <w:p w14:paraId="63DA3399" w14:textId="77777777" w:rsidR="008139B7" w:rsidRPr="00E525BD" w:rsidRDefault="008139B7" w:rsidP="00E525BD">
      <w:pPr>
        <w:tabs>
          <w:tab w:val="left" w:pos="346"/>
          <w:tab w:val="left" w:pos="709"/>
          <w:tab w:val="left" w:pos="1151"/>
          <w:tab w:val="decimal" w:pos="6049"/>
          <w:tab w:val="decimal" w:pos="7342"/>
          <w:tab w:val="decimal" w:pos="8640"/>
          <w:tab w:val="decimal" w:pos="9836"/>
        </w:tabs>
        <w:suppressAutoHyphens/>
        <w:spacing w:line="234" w:lineRule="exact"/>
        <w:jc w:val="center"/>
        <w:rPr>
          <w:rFonts w:ascii="Arial" w:hAnsi="Arial" w:cs="Arial"/>
          <w:b/>
          <w:bCs/>
          <w:sz w:val="18"/>
          <w:szCs w:val="18"/>
        </w:rPr>
      </w:pPr>
    </w:p>
    <w:sectPr w:rsidR="008139B7" w:rsidRPr="00E525BD" w:rsidSect="00094352">
      <w:endnotePr>
        <w:numFmt w:val="decimal"/>
      </w:endnotePr>
      <w:pgSz w:w="11909" w:h="16834" w:code="9"/>
      <w:pgMar w:top="794" w:right="851" w:bottom="794" w:left="1191" w:header="720" w:footer="414" w:gutter="0"/>
      <w:pgNumType w:start="2"/>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9D31" w14:textId="77777777" w:rsidR="00F82986" w:rsidRDefault="00F82986">
      <w:pPr>
        <w:spacing w:line="20" w:lineRule="exact"/>
      </w:pPr>
    </w:p>
  </w:endnote>
  <w:endnote w:type="continuationSeparator" w:id="0">
    <w:p w14:paraId="3E312FA3" w14:textId="77777777" w:rsidR="00F82986" w:rsidRDefault="00F82986">
      <w:r>
        <w:t xml:space="preserve"> </w:t>
      </w:r>
    </w:p>
  </w:endnote>
  <w:endnote w:type="continuationNotice" w:id="1">
    <w:p w14:paraId="3471E866" w14:textId="77777777" w:rsidR="00F82986" w:rsidRDefault="00F829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Segoe UI Historic"/>
    <w:panose1 w:val="00000000000000000000"/>
    <w:charset w:val="4D"/>
    <w:family w:val="auto"/>
    <w:pitch w:val="variable"/>
    <w:sig w:usb0="A00002FF" w:usb1="7800205A" w:usb2="14600000" w:usb3="00000000" w:csb0="00000193" w:csb1="00000000"/>
  </w:font>
  <w:font w:name="Bookman">
    <w:altName w:val="Bookman Old Style"/>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C07F" w14:textId="77777777" w:rsidR="00F82986" w:rsidRDefault="00F82986">
      <w:r>
        <w:separator/>
      </w:r>
    </w:p>
  </w:footnote>
  <w:footnote w:type="continuationSeparator" w:id="0">
    <w:p w14:paraId="402C0094" w14:textId="77777777" w:rsidR="00F82986" w:rsidRDefault="00F82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53B"/>
    <w:multiLevelType w:val="hybridMultilevel"/>
    <w:tmpl w:val="AF7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240DF"/>
    <w:multiLevelType w:val="hybridMultilevel"/>
    <w:tmpl w:val="C598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00C1D"/>
    <w:multiLevelType w:val="hybridMultilevel"/>
    <w:tmpl w:val="B736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58025">
    <w:abstractNumId w:val="0"/>
  </w:num>
  <w:num w:numId="2" w16cid:durableId="1660035106">
    <w:abstractNumId w:val="1"/>
  </w:num>
  <w:num w:numId="3" w16cid:durableId="136270257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60"/>
  <w:doNotHyphenateCaps/>
  <w:drawingGridHorizontalSpacing w:val="115"/>
  <w:drawingGridVerticalSpacing w:val="313"/>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99"/>
    <w:rsid w:val="0000026E"/>
    <w:rsid w:val="00001192"/>
    <w:rsid w:val="000011F8"/>
    <w:rsid w:val="00002101"/>
    <w:rsid w:val="000028FF"/>
    <w:rsid w:val="00002C5B"/>
    <w:rsid w:val="00003775"/>
    <w:rsid w:val="000044D7"/>
    <w:rsid w:val="00004818"/>
    <w:rsid w:val="00005040"/>
    <w:rsid w:val="00005E63"/>
    <w:rsid w:val="0001195C"/>
    <w:rsid w:val="000119CD"/>
    <w:rsid w:val="00011B0B"/>
    <w:rsid w:val="00011B27"/>
    <w:rsid w:val="000127D5"/>
    <w:rsid w:val="00012DC3"/>
    <w:rsid w:val="00013833"/>
    <w:rsid w:val="00013C35"/>
    <w:rsid w:val="0001414F"/>
    <w:rsid w:val="000143C5"/>
    <w:rsid w:val="0001489A"/>
    <w:rsid w:val="000153B7"/>
    <w:rsid w:val="00015F93"/>
    <w:rsid w:val="00017740"/>
    <w:rsid w:val="000178E8"/>
    <w:rsid w:val="00017A81"/>
    <w:rsid w:val="00021176"/>
    <w:rsid w:val="00021C31"/>
    <w:rsid w:val="00021C59"/>
    <w:rsid w:val="00022BEA"/>
    <w:rsid w:val="000238CC"/>
    <w:rsid w:val="00024A87"/>
    <w:rsid w:val="00024D52"/>
    <w:rsid w:val="00026BE7"/>
    <w:rsid w:val="000303FA"/>
    <w:rsid w:val="0003077E"/>
    <w:rsid w:val="00031523"/>
    <w:rsid w:val="000317EE"/>
    <w:rsid w:val="00031D75"/>
    <w:rsid w:val="0003293D"/>
    <w:rsid w:val="000329A0"/>
    <w:rsid w:val="00032CC1"/>
    <w:rsid w:val="00033120"/>
    <w:rsid w:val="00033407"/>
    <w:rsid w:val="0003356F"/>
    <w:rsid w:val="00034A09"/>
    <w:rsid w:val="00034EE7"/>
    <w:rsid w:val="0003507C"/>
    <w:rsid w:val="0003571A"/>
    <w:rsid w:val="0003582F"/>
    <w:rsid w:val="00036275"/>
    <w:rsid w:val="00037375"/>
    <w:rsid w:val="000378C8"/>
    <w:rsid w:val="00037C1E"/>
    <w:rsid w:val="00037CE3"/>
    <w:rsid w:val="00037DD3"/>
    <w:rsid w:val="00037F20"/>
    <w:rsid w:val="00037F64"/>
    <w:rsid w:val="0004071E"/>
    <w:rsid w:val="00040A68"/>
    <w:rsid w:val="000414C2"/>
    <w:rsid w:val="00041B5C"/>
    <w:rsid w:val="00043825"/>
    <w:rsid w:val="000450B9"/>
    <w:rsid w:val="0005056B"/>
    <w:rsid w:val="00050AC6"/>
    <w:rsid w:val="00050B3D"/>
    <w:rsid w:val="000513FE"/>
    <w:rsid w:val="00053F53"/>
    <w:rsid w:val="000540C7"/>
    <w:rsid w:val="00054B75"/>
    <w:rsid w:val="00055E57"/>
    <w:rsid w:val="000562B1"/>
    <w:rsid w:val="00056496"/>
    <w:rsid w:val="000568E5"/>
    <w:rsid w:val="000573DB"/>
    <w:rsid w:val="000575D9"/>
    <w:rsid w:val="00057E95"/>
    <w:rsid w:val="00057F65"/>
    <w:rsid w:val="00060583"/>
    <w:rsid w:val="00060922"/>
    <w:rsid w:val="00061286"/>
    <w:rsid w:val="0006190C"/>
    <w:rsid w:val="000620CC"/>
    <w:rsid w:val="000629EC"/>
    <w:rsid w:val="00062A46"/>
    <w:rsid w:val="000631B1"/>
    <w:rsid w:val="00063323"/>
    <w:rsid w:val="00065C4C"/>
    <w:rsid w:val="0006613B"/>
    <w:rsid w:val="00066BC7"/>
    <w:rsid w:val="00067562"/>
    <w:rsid w:val="00067733"/>
    <w:rsid w:val="00067F4B"/>
    <w:rsid w:val="00067F4D"/>
    <w:rsid w:val="000705A1"/>
    <w:rsid w:val="00070A69"/>
    <w:rsid w:val="0007130C"/>
    <w:rsid w:val="00071A55"/>
    <w:rsid w:val="00071BE6"/>
    <w:rsid w:val="00071E54"/>
    <w:rsid w:val="00072110"/>
    <w:rsid w:val="00072A49"/>
    <w:rsid w:val="000768F4"/>
    <w:rsid w:val="00076CD6"/>
    <w:rsid w:val="00076F34"/>
    <w:rsid w:val="0007742D"/>
    <w:rsid w:val="00077485"/>
    <w:rsid w:val="0008153D"/>
    <w:rsid w:val="0008192B"/>
    <w:rsid w:val="0008241A"/>
    <w:rsid w:val="0008294A"/>
    <w:rsid w:val="000836DB"/>
    <w:rsid w:val="000844FE"/>
    <w:rsid w:val="0008477F"/>
    <w:rsid w:val="00085965"/>
    <w:rsid w:val="00085B59"/>
    <w:rsid w:val="00085DF4"/>
    <w:rsid w:val="00086541"/>
    <w:rsid w:val="00086E4C"/>
    <w:rsid w:val="00087129"/>
    <w:rsid w:val="00087E21"/>
    <w:rsid w:val="00090136"/>
    <w:rsid w:val="000903B2"/>
    <w:rsid w:val="00090510"/>
    <w:rsid w:val="00090EF4"/>
    <w:rsid w:val="000926D9"/>
    <w:rsid w:val="0009310A"/>
    <w:rsid w:val="00094352"/>
    <w:rsid w:val="00094E4E"/>
    <w:rsid w:val="0009535B"/>
    <w:rsid w:val="0009575E"/>
    <w:rsid w:val="000976A9"/>
    <w:rsid w:val="00097F74"/>
    <w:rsid w:val="00097F76"/>
    <w:rsid w:val="000A02B2"/>
    <w:rsid w:val="000A10BB"/>
    <w:rsid w:val="000A17DF"/>
    <w:rsid w:val="000A1877"/>
    <w:rsid w:val="000A2A8A"/>
    <w:rsid w:val="000A3115"/>
    <w:rsid w:val="000A398B"/>
    <w:rsid w:val="000A3C64"/>
    <w:rsid w:val="000A44FF"/>
    <w:rsid w:val="000A47B1"/>
    <w:rsid w:val="000A4D07"/>
    <w:rsid w:val="000A59E8"/>
    <w:rsid w:val="000A63E7"/>
    <w:rsid w:val="000A680F"/>
    <w:rsid w:val="000A71F6"/>
    <w:rsid w:val="000A7597"/>
    <w:rsid w:val="000B0B19"/>
    <w:rsid w:val="000B0F3E"/>
    <w:rsid w:val="000B119D"/>
    <w:rsid w:val="000B16DA"/>
    <w:rsid w:val="000B24B9"/>
    <w:rsid w:val="000B2A80"/>
    <w:rsid w:val="000B327E"/>
    <w:rsid w:val="000B3313"/>
    <w:rsid w:val="000B33A4"/>
    <w:rsid w:val="000B4053"/>
    <w:rsid w:val="000B46A6"/>
    <w:rsid w:val="000B4F7F"/>
    <w:rsid w:val="000B6467"/>
    <w:rsid w:val="000B718A"/>
    <w:rsid w:val="000B7703"/>
    <w:rsid w:val="000B784D"/>
    <w:rsid w:val="000B7CB3"/>
    <w:rsid w:val="000C0EB4"/>
    <w:rsid w:val="000C1610"/>
    <w:rsid w:val="000C2472"/>
    <w:rsid w:val="000C299B"/>
    <w:rsid w:val="000C2BB8"/>
    <w:rsid w:val="000C2D25"/>
    <w:rsid w:val="000C4B09"/>
    <w:rsid w:val="000C4DDD"/>
    <w:rsid w:val="000C56B0"/>
    <w:rsid w:val="000C6841"/>
    <w:rsid w:val="000D07FE"/>
    <w:rsid w:val="000D0CB8"/>
    <w:rsid w:val="000D0F23"/>
    <w:rsid w:val="000D123F"/>
    <w:rsid w:val="000D3068"/>
    <w:rsid w:val="000D379E"/>
    <w:rsid w:val="000D5877"/>
    <w:rsid w:val="000D6853"/>
    <w:rsid w:val="000D78E7"/>
    <w:rsid w:val="000E0860"/>
    <w:rsid w:val="000E08F4"/>
    <w:rsid w:val="000E0ABF"/>
    <w:rsid w:val="000E0CCD"/>
    <w:rsid w:val="000E2000"/>
    <w:rsid w:val="000E21C2"/>
    <w:rsid w:val="000E289A"/>
    <w:rsid w:val="000E2EF2"/>
    <w:rsid w:val="000E4CB8"/>
    <w:rsid w:val="000E52C4"/>
    <w:rsid w:val="000E53AB"/>
    <w:rsid w:val="000E627E"/>
    <w:rsid w:val="000E632A"/>
    <w:rsid w:val="000E6426"/>
    <w:rsid w:val="000E7545"/>
    <w:rsid w:val="000F166F"/>
    <w:rsid w:val="000F1F52"/>
    <w:rsid w:val="000F2B7B"/>
    <w:rsid w:val="000F41C1"/>
    <w:rsid w:val="000F5988"/>
    <w:rsid w:val="000F6B17"/>
    <w:rsid w:val="000F6E3D"/>
    <w:rsid w:val="000F76B0"/>
    <w:rsid w:val="0010027C"/>
    <w:rsid w:val="00100F34"/>
    <w:rsid w:val="001010E9"/>
    <w:rsid w:val="00102192"/>
    <w:rsid w:val="0010263A"/>
    <w:rsid w:val="0010279D"/>
    <w:rsid w:val="00102AEF"/>
    <w:rsid w:val="00102D7A"/>
    <w:rsid w:val="00103A7A"/>
    <w:rsid w:val="00104A73"/>
    <w:rsid w:val="00105F88"/>
    <w:rsid w:val="001063B2"/>
    <w:rsid w:val="00106775"/>
    <w:rsid w:val="00106FEC"/>
    <w:rsid w:val="00107487"/>
    <w:rsid w:val="0011168A"/>
    <w:rsid w:val="00111D82"/>
    <w:rsid w:val="00112A72"/>
    <w:rsid w:val="00112C39"/>
    <w:rsid w:val="00112C75"/>
    <w:rsid w:val="001132FB"/>
    <w:rsid w:val="00113F04"/>
    <w:rsid w:val="001146DE"/>
    <w:rsid w:val="00116307"/>
    <w:rsid w:val="00116992"/>
    <w:rsid w:val="001169F9"/>
    <w:rsid w:val="001170BD"/>
    <w:rsid w:val="0011765D"/>
    <w:rsid w:val="00120C3B"/>
    <w:rsid w:val="0012277B"/>
    <w:rsid w:val="0012302D"/>
    <w:rsid w:val="00125684"/>
    <w:rsid w:val="001256DA"/>
    <w:rsid w:val="00125739"/>
    <w:rsid w:val="00125D13"/>
    <w:rsid w:val="00126301"/>
    <w:rsid w:val="00126992"/>
    <w:rsid w:val="001275B7"/>
    <w:rsid w:val="001275D5"/>
    <w:rsid w:val="00127A11"/>
    <w:rsid w:val="00127A5D"/>
    <w:rsid w:val="00130326"/>
    <w:rsid w:val="001316DC"/>
    <w:rsid w:val="00131967"/>
    <w:rsid w:val="001324B0"/>
    <w:rsid w:val="00133A8D"/>
    <w:rsid w:val="00133CD2"/>
    <w:rsid w:val="00134345"/>
    <w:rsid w:val="0013461C"/>
    <w:rsid w:val="00134BD2"/>
    <w:rsid w:val="00135081"/>
    <w:rsid w:val="001357B8"/>
    <w:rsid w:val="00137915"/>
    <w:rsid w:val="00137A17"/>
    <w:rsid w:val="00137E73"/>
    <w:rsid w:val="00140562"/>
    <w:rsid w:val="001409C9"/>
    <w:rsid w:val="00140A88"/>
    <w:rsid w:val="00141109"/>
    <w:rsid w:val="00141597"/>
    <w:rsid w:val="00141699"/>
    <w:rsid w:val="0014312E"/>
    <w:rsid w:val="00145466"/>
    <w:rsid w:val="00146084"/>
    <w:rsid w:val="00146A0E"/>
    <w:rsid w:val="00146B81"/>
    <w:rsid w:val="001473D0"/>
    <w:rsid w:val="001514DD"/>
    <w:rsid w:val="001515D2"/>
    <w:rsid w:val="001522D5"/>
    <w:rsid w:val="0015236E"/>
    <w:rsid w:val="0015364B"/>
    <w:rsid w:val="00154151"/>
    <w:rsid w:val="001543FD"/>
    <w:rsid w:val="00154A44"/>
    <w:rsid w:val="00155B5E"/>
    <w:rsid w:val="00156171"/>
    <w:rsid w:val="00157034"/>
    <w:rsid w:val="00157984"/>
    <w:rsid w:val="001605E2"/>
    <w:rsid w:val="0016231C"/>
    <w:rsid w:val="001625DF"/>
    <w:rsid w:val="00162CA3"/>
    <w:rsid w:val="00162F60"/>
    <w:rsid w:val="0016343C"/>
    <w:rsid w:val="00163E2C"/>
    <w:rsid w:val="00164121"/>
    <w:rsid w:val="001644E8"/>
    <w:rsid w:val="00165805"/>
    <w:rsid w:val="00165BD4"/>
    <w:rsid w:val="00166929"/>
    <w:rsid w:val="00166D40"/>
    <w:rsid w:val="00167428"/>
    <w:rsid w:val="0016767D"/>
    <w:rsid w:val="00167E59"/>
    <w:rsid w:val="0017001A"/>
    <w:rsid w:val="0017076E"/>
    <w:rsid w:val="0017298A"/>
    <w:rsid w:val="00173DFB"/>
    <w:rsid w:val="001748BD"/>
    <w:rsid w:val="00174C9F"/>
    <w:rsid w:val="00175CA3"/>
    <w:rsid w:val="00176ABB"/>
    <w:rsid w:val="00177242"/>
    <w:rsid w:val="00177591"/>
    <w:rsid w:val="0017784F"/>
    <w:rsid w:val="00177A8A"/>
    <w:rsid w:val="00177FB5"/>
    <w:rsid w:val="00180785"/>
    <w:rsid w:val="00181A10"/>
    <w:rsid w:val="00182D4F"/>
    <w:rsid w:val="0018415C"/>
    <w:rsid w:val="001841B9"/>
    <w:rsid w:val="00186D6B"/>
    <w:rsid w:val="00186EE5"/>
    <w:rsid w:val="0018750B"/>
    <w:rsid w:val="001877FD"/>
    <w:rsid w:val="00190337"/>
    <w:rsid w:val="00190A75"/>
    <w:rsid w:val="00190B7D"/>
    <w:rsid w:val="00190CB5"/>
    <w:rsid w:val="001910CA"/>
    <w:rsid w:val="00191222"/>
    <w:rsid w:val="00191364"/>
    <w:rsid w:val="00191C19"/>
    <w:rsid w:val="00191E56"/>
    <w:rsid w:val="00192C80"/>
    <w:rsid w:val="00192F10"/>
    <w:rsid w:val="001930B5"/>
    <w:rsid w:val="001930C2"/>
    <w:rsid w:val="0019384B"/>
    <w:rsid w:val="00193C46"/>
    <w:rsid w:val="00194361"/>
    <w:rsid w:val="00194C1C"/>
    <w:rsid w:val="00195793"/>
    <w:rsid w:val="00195CE5"/>
    <w:rsid w:val="00196718"/>
    <w:rsid w:val="00196CAD"/>
    <w:rsid w:val="00196DAB"/>
    <w:rsid w:val="00197351"/>
    <w:rsid w:val="00197648"/>
    <w:rsid w:val="001A06A8"/>
    <w:rsid w:val="001A0D08"/>
    <w:rsid w:val="001A11DE"/>
    <w:rsid w:val="001A1804"/>
    <w:rsid w:val="001A25F7"/>
    <w:rsid w:val="001A31E3"/>
    <w:rsid w:val="001A395D"/>
    <w:rsid w:val="001A4218"/>
    <w:rsid w:val="001A4338"/>
    <w:rsid w:val="001A4D3C"/>
    <w:rsid w:val="001A4D76"/>
    <w:rsid w:val="001A5DC7"/>
    <w:rsid w:val="001A6579"/>
    <w:rsid w:val="001B061F"/>
    <w:rsid w:val="001B14C8"/>
    <w:rsid w:val="001B15BD"/>
    <w:rsid w:val="001B39C8"/>
    <w:rsid w:val="001B514A"/>
    <w:rsid w:val="001B5FBB"/>
    <w:rsid w:val="001B687D"/>
    <w:rsid w:val="001B76AC"/>
    <w:rsid w:val="001B7E99"/>
    <w:rsid w:val="001C0A54"/>
    <w:rsid w:val="001C2087"/>
    <w:rsid w:val="001C2F89"/>
    <w:rsid w:val="001C364E"/>
    <w:rsid w:val="001C36AA"/>
    <w:rsid w:val="001C47AA"/>
    <w:rsid w:val="001C4FE0"/>
    <w:rsid w:val="001C6698"/>
    <w:rsid w:val="001C6BB2"/>
    <w:rsid w:val="001C7381"/>
    <w:rsid w:val="001C7393"/>
    <w:rsid w:val="001C7E30"/>
    <w:rsid w:val="001D1797"/>
    <w:rsid w:val="001D2EB7"/>
    <w:rsid w:val="001D2FB7"/>
    <w:rsid w:val="001D4471"/>
    <w:rsid w:val="001D4AD9"/>
    <w:rsid w:val="001D4BFC"/>
    <w:rsid w:val="001D5700"/>
    <w:rsid w:val="001D570D"/>
    <w:rsid w:val="001D57D8"/>
    <w:rsid w:val="001D6D95"/>
    <w:rsid w:val="001D6DF4"/>
    <w:rsid w:val="001D6FB9"/>
    <w:rsid w:val="001D75F7"/>
    <w:rsid w:val="001D7BF4"/>
    <w:rsid w:val="001E1225"/>
    <w:rsid w:val="001E1B1F"/>
    <w:rsid w:val="001E210D"/>
    <w:rsid w:val="001E21CC"/>
    <w:rsid w:val="001E3481"/>
    <w:rsid w:val="001E3CB6"/>
    <w:rsid w:val="001E442B"/>
    <w:rsid w:val="001E4CFA"/>
    <w:rsid w:val="001E5133"/>
    <w:rsid w:val="001F03CB"/>
    <w:rsid w:val="001F0480"/>
    <w:rsid w:val="001F0BA0"/>
    <w:rsid w:val="001F15E3"/>
    <w:rsid w:val="001F2214"/>
    <w:rsid w:val="001F24DC"/>
    <w:rsid w:val="001F2E3D"/>
    <w:rsid w:val="001F30EB"/>
    <w:rsid w:val="001F392D"/>
    <w:rsid w:val="001F3BCA"/>
    <w:rsid w:val="001F3FBC"/>
    <w:rsid w:val="001F4146"/>
    <w:rsid w:val="001F41CA"/>
    <w:rsid w:val="001F45C4"/>
    <w:rsid w:val="001F4F05"/>
    <w:rsid w:val="001F5E7F"/>
    <w:rsid w:val="001F73BD"/>
    <w:rsid w:val="001F79BC"/>
    <w:rsid w:val="00200BA8"/>
    <w:rsid w:val="00200EBA"/>
    <w:rsid w:val="00202906"/>
    <w:rsid w:val="00202A15"/>
    <w:rsid w:val="00202BDC"/>
    <w:rsid w:val="0020565A"/>
    <w:rsid w:val="00211C56"/>
    <w:rsid w:val="0021277D"/>
    <w:rsid w:val="0021284C"/>
    <w:rsid w:val="00212F64"/>
    <w:rsid w:val="00214556"/>
    <w:rsid w:val="00214EF8"/>
    <w:rsid w:val="0021574F"/>
    <w:rsid w:val="00215B87"/>
    <w:rsid w:val="00216935"/>
    <w:rsid w:val="00222394"/>
    <w:rsid w:val="00222E91"/>
    <w:rsid w:val="00224176"/>
    <w:rsid w:val="00226887"/>
    <w:rsid w:val="00227697"/>
    <w:rsid w:val="00231444"/>
    <w:rsid w:val="00231CEC"/>
    <w:rsid w:val="00231DF3"/>
    <w:rsid w:val="0023348A"/>
    <w:rsid w:val="002365E1"/>
    <w:rsid w:val="00236DFB"/>
    <w:rsid w:val="00240BC0"/>
    <w:rsid w:val="002411E0"/>
    <w:rsid w:val="00241767"/>
    <w:rsid w:val="0024206B"/>
    <w:rsid w:val="00242315"/>
    <w:rsid w:val="0024282E"/>
    <w:rsid w:val="0024283A"/>
    <w:rsid w:val="00243E1C"/>
    <w:rsid w:val="00244408"/>
    <w:rsid w:val="0024487E"/>
    <w:rsid w:val="00244EB4"/>
    <w:rsid w:val="00245787"/>
    <w:rsid w:val="00245F8F"/>
    <w:rsid w:val="00246B25"/>
    <w:rsid w:val="00247220"/>
    <w:rsid w:val="0024756A"/>
    <w:rsid w:val="00250CB2"/>
    <w:rsid w:val="0025186C"/>
    <w:rsid w:val="00251980"/>
    <w:rsid w:val="002526EF"/>
    <w:rsid w:val="002529FA"/>
    <w:rsid w:val="00252BE2"/>
    <w:rsid w:val="002537FE"/>
    <w:rsid w:val="00253CD3"/>
    <w:rsid w:val="00254D0E"/>
    <w:rsid w:val="00255C7F"/>
    <w:rsid w:val="002562CA"/>
    <w:rsid w:val="0026044B"/>
    <w:rsid w:val="00260491"/>
    <w:rsid w:val="002611C3"/>
    <w:rsid w:val="00261A81"/>
    <w:rsid w:val="00261C6C"/>
    <w:rsid w:val="0026205A"/>
    <w:rsid w:val="00263001"/>
    <w:rsid w:val="00263520"/>
    <w:rsid w:val="002641F3"/>
    <w:rsid w:val="00264443"/>
    <w:rsid w:val="002657E4"/>
    <w:rsid w:val="00266D8D"/>
    <w:rsid w:val="00270487"/>
    <w:rsid w:val="0027092D"/>
    <w:rsid w:val="00270C54"/>
    <w:rsid w:val="00270D90"/>
    <w:rsid w:val="00271DC4"/>
    <w:rsid w:val="00272303"/>
    <w:rsid w:val="0027258D"/>
    <w:rsid w:val="00272D60"/>
    <w:rsid w:val="002737C8"/>
    <w:rsid w:val="002742A9"/>
    <w:rsid w:val="002746F3"/>
    <w:rsid w:val="002755D8"/>
    <w:rsid w:val="00276E60"/>
    <w:rsid w:val="002772F9"/>
    <w:rsid w:val="00280612"/>
    <w:rsid w:val="00281A4C"/>
    <w:rsid w:val="00281D40"/>
    <w:rsid w:val="00281E07"/>
    <w:rsid w:val="0028280A"/>
    <w:rsid w:val="00282844"/>
    <w:rsid w:val="00282863"/>
    <w:rsid w:val="002829C5"/>
    <w:rsid w:val="00283885"/>
    <w:rsid w:val="002841B0"/>
    <w:rsid w:val="00284905"/>
    <w:rsid w:val="00284C11"/>
    <w:rsid w:val="00284CCF"/>
    <w:rsid w:val="00284EC0"/>
    <w:rsid w:val="00285246"/>
    <w:rsid w:val="00286513"/>
    <w:rsid w:val="00287E2B"/>
    <w:rsid w:val="00290CEC"/>
    <w:rsid w:val="0029142D"/>
    <w:rsid w:val="002929BF"/>
    <w:rsid w:val="00292EA0"/>
    <w:rsid w:val="002939C3"/>
    <w:rsid w:val="00295DDB"/>
    <w:rsid w:val="002961C6"/>
    <w:rsid w:val="00296637"/>
    <w:rsid w:val="00297C32"/>
    <w:rsid w:val="00297D66"/>
    <w:rsid w:val="002A191D"/>
    <w:rsid w:val="002A3CC4"/>
    <w:rsid w:val="002A3D69"/>
    <w:rsid w:val="002A4B4B"/>
    <w:rsid w:val="002A5C2E"/>
    <w:rsid w:val="002A6E9C"/>
    <w:rsid w:val="002A712F"/>
    <w:rsid w:val="002A758E"/>
    <w:rsid w:val="002A76FE"/>
    <w:rsid w:val="002A7798"/>
    <w:rsid w:val="002A7CF8"/>
    <w:rsid w:val="002A7F27"/>
    <w:rsid w:val="002B0842"/>
    <w:rsid w:val="002B24A9"/>
    <w:rsid w:val="002B258E"/>
    <w:rsid w:val="002B262C"/>
    <w:rsid w:val="002B2B9A"/>
    <w:rsid w:val="002B36D0"/>
    <w:rsid w:val="002B39C6"/>
    <w:rsid w:val="002B3B42"/>
    <w:rsid w:val="002B40BA"/>
    <w:rsid w:val="002B4392"/>
    <w:rsid w:val="002B5101"/>
    <w:rsid w:val="002B5377"/>
    <w:rsid w:val="002B55FE"/>
    <w:rsid w:val="002B5A4E"/>
    <w:rsid w:val="002B6274"/>
    <w:rsid w:val="002C2529"/>
    <w:rsid w:val="002C3291"/>
    <w:rsid w:val="002C40E2"/>
    <w:rsid w:val="002C50EF"/>
    <w:rsid w:val="002C5772"/>
    <w:rsid w:val="002C60C9"/>
    <w:rsid w:val="002C72DF"/>
    <w:rsid w:val="002D015C"/>
    <w:rsid w:val="002D0A27"/>
    <w:rsid w:val="002D25D2"/>
    <w:rsid w:val="002D2FE1"/>
    <w:rsid w:val="002D3560"/>
    <w:rsid w:val="002D376F"/>
    <w:rsid w:val="002D3FE5"/>
    <w:rsid w:val="002D45C5"/>
    <w:rsid w:val="002D60E8"/>
    <w:rsid w:val="002D63E8"/>
    <w:rsid w:val="002D67EE"/>
    <w:rsid w:val="002D6E7E"/>
    <w:rsid w:val="002D716B"/>
    <w:rsid w:val="002D7775"/>
    <w:rsid w:val="002D7BD0"/>
    <w:rsid w:val="002E01BD"/>
    <w:rsid w:val="002E106F"/>
    <w:rsid w:val="002E2292"/>
    <w:rsid w:val="002E2EA5"/>
    <w:rsid w:val="002E3374"/>
    <w:rsid w:val="002E43A2"/>
    <w:rsid w:val="002E4CD7"/>
    <w:rsid w:val="002E529E"/>
    <w:rsid w:val="002E5D18"/>
    <w:rsid w:val="002E694E"/>
    <w:rsid w:val="002E6ACF"/>
    <w:rsid w:val="002E6BE0"/>
    <w:rsid w:val="002E6CD2"/>
    <w:rsid w:val="002E7653"/>
    <w:rsid w:val="002F0414"/>
    <w:rsid w:val="002F0846"/>
    <w:rsid w:val="002F0B86"/>
    <w:rsid w:val="002F175D"/>
    <w:rsid w:val="002F2145"/>
    <w:rsid w:val="002F21DD"/>
    <w:rsid w:val="002F252F"/>
    <w:rsid w:val="002F39DF"/>
    <w:rsid w:val="002F4656"/>
    <w:rsid w:val="002F4F30"/>
    <w:rsid w:val="002F4F33"/>
    <w:rsid w:val="002F697E"/>
    <w:rsid w:val="002F6A19"/>
    <w:rsid w:val="002F6C21"/>
    <w:rsid w:val="002F77ED"/>
    <w:rsid w:val="003027F5"/>
    <w:rsid w:val="00303F35"/>
    <w:rsid w:val="00304570"/>
    <w:rsid w:val="00304C11"/>
    <w:rsid w:val="0030541F"/>
    <w:rsid w:val="00305444"/>
    <w:rsid w:val="00305F7C"/>
    <w:rsid w:val="003061FB"/>
    <w:rsid w:val="003062F6"/>
    <w:rsid w:val="00306CF6"/>
    <w:rsid w:val="00307313"/>
    <w:rsid w:val="00310664"/>
    <w:rsid w:val="00311019"/>
    <w:rsid w:val="00312EA0"/>
    <w:rsid w:val="003135CE"/>
    <w:rsid w:val="00315FB6"/>
    <w:rsid w:val="00316558"/>
    <w:rsid w:val="00316AF8"/>
    <w:rsid w:val="00316DCD"/>
    <w:rsid w:val="00317095"/>
    <w:rsid w:val="0031710A"/>
    <w:rsid w:val="00321026"/>
    <w:rsid w:val="003221C1"/>
    <w:rsid w:val="003222F4"/>
    <w:rsid w:val="00322598"/>
    <w:rsid w:val="003228A3"/>
    <w:rsid w:val="00323439"/>
    <w:rsid w:val="003242CF"/>
    <w:rsid w:val="003261D0"/>
    <w:rsid w:val="003261F5"/>
    <w:rsid w:val="0032665A"/>
    <w:rsid w:val="0032799D"/>
    <w:rsid w:val="00327AEF"/>
    <w:rsid w:val="00330E5B"/>
    <w:rsid w:val="00331CE1"/>
    <w:rsid w:val="00332038"/>
    <w:rsid w:val="0033354F"/>
    <w:rsid w:val="00333704"/>
    <w:rsid w:val="0033396B"/>
    <w:rsid w:val="0033397C"/>
    <w:rsid w:val="00333AD8"/>
    <w:rsid w:val="00334128"/>
    <w:rsid w:val="00334474"/>
    <w:rsid w:val="0033475D"/>
    <w:rsid w:val="0033512F"/>
    <w:rsid w:val="003357BF"/>
    <w:rsid w:val="00337128"/>
    <w:rsid w:val="0034033B"/>
    <w:rsid w:val="003403AD"/>
    <w:rsid w:val="003411F6"/>
    <w:rsid w:val="00342D13"/>
    <w:rsid w:val="00342D32"/>
    <w:rsid w:val="00343341"/>
    <w:rsid w:val="003440DE"/>
    <w:rsid w:val="003447A8"/>
    <w:rsid w:val="00344839"/>
    <w:rsid w:val="00345918"/>
    <w:rsid w:val="00345DD2"/>
    <w:rsid w:val="003469A9"/>
    <w:rsid w:val="00347A26"/>
    <w:rsid w:val="003505D2"/>
    <w:rsid w:val="00350F6B"/>
    <w:rsid w:val="00351458"/>
    <w:rsid w:val="003517DD"/>
    <w:rsid w:val="00351E85"/>
    <w:rsid w:val="003536EE"/>
    <w:rsid w:val="003539C2"/>
    <w:rsid w:val="00353BAF"/>
    <w:rsid w:val="00353C5E"/>
    <w:rsid w:val="0035559E"/>
    <w:rsid w:val="00356424"/>
    <w:rsid w:val="003565DE"/>
    <w:rsid w:val="00356871"/>
    <w:rsid w:val="003573B6"/>
    <w:rsid w:val="00357FF6"/>
    <w:rsid w:val="00360A63"/>
    <w:rsid w:val="00360FBD"/>
    <w:rsid w:val="003611B7"/>
    <w:rsid w:val="00362155"/>
    <w:rsid w:val="0036389F"/>
    <w:rsid w:val="003642E1"/>
    <w:rsid w:val="00366951"/>
    <w:rsid w:val="003669F9"/>
    <w:rsid w:val="00366B4C"/>
    <w:rsid w:val="00366D3E"/>
    <w:rsid w:val="00366F17"/>
    <w:rsid w:val="00367DB2"/>
    <w:rsid w:val="003702FD"/>
    <w:rsid w:val="00370E45"/>
    <w:rsid w:val="00370EF7"/>
    <w:rsid w:val="00370F1B"/>
    <w:rsid w:val="003723A2"/>
    <w:rsid w:val="003725D7"/>
    <w:rsid w:val="00372DC1"/>
    <w:rsid w:val="00372F6C"/>
    <w:rsid w:val="003730D3"/>
    <w:rsid w:val="00373230"/>
    <w:rsid w:val="00374296"/>
    <w:rsid w:val="0037451D"/>
    <w:rsid w:val="00374D39"/>
    <w:rsid w:val="0037503F"/>
    <w:rsid w:val="003752C4"/>
    <w:rsid w:val="003776F7"/>
    <w:rsid w:val="00380B4D"/>
    <w:rsid w:val="00381C84"/>
    <w:rsid w:val="00381D70"/>
    <w:rsid w:val="0038269D"/>
    <w:rsid w:val="00383D3D"/>
    <w:rsid w:val="00383FFD"/>
    <w:rsid w:val="003845BE"/>
    <w:rsid w:val="00385EEF"/>
    <w:rsid w:val="003870EB"/>
    <w:rsid w:val="003875A5"/>
    <w:rsid w:val="00387E3C"/>
    <w:rsid w:val="003902F4"/>
    <w:rsid w:val="00390899"/>
    <w:rsid w:val="00390DC1"/>
    <w:rsid w:val="00391EBB"/>
    <w:rsid w:val="00394257"/>
    <w:rsid w:val="00395B1F"/>
    <w:rsid w:val="003975F0"/>
    <w:rsid w:val="00397C22"/>
    <w:rsid w:val="003A00E8"/>
    <w:rsid w:val="003A0B3D"/>
    <w:rsid w:val="003A0BC6"/>
    <w:rsid w:val="003A23BC"/>
    <w:rsid w:val="003A24AB"/>
    <w:rsid w:val="003A2710"/>
    <w:rsid w:val="003A3281"/>
    <w:rsid w:val="003A42B3"/>
    <w:rsid w:val="003A4467"/>
    <w:rsid w:val="003A4679"/>
    <w:rsid w:val="003A46B0"/>
    <w:rsid w:val="003A50F4"/>
    <w:rsid w:val="003A531F"/>
    <w:rsid w:val="003A557D"/>
    <w:rsid w:val="003A5D21"/>
    <w:rsid w:val="003A7DB6"/>
    <w:rsid w:val="003B03F1"/>
    <w:rsid w:val="003B0969"/>
    <w:rsid w:val="003B1391"/>
    <w:rsid w:val="003B33CA"/>
    <w:rsid w:val="003B4334"/>
    <w:rsid w:val="003B474A"/>
    <w:rsid w:val="003B4E2E"/>
    <w:rsid w:val="003B5132"/>
    <w:rsid w:val="003B541F"/>
    <w:rsid w:val="003B6E9D"/>
    <w:rsid w:val="003B7B86"/>
    <w:rsid w:val="003C0556"/>
    <w:rsid w:val="003C0710"/>
    <w:rsid w:val="003C15EF"/>
    <w:rsid w:val="003C189A"/>
    <w:rsid w:val="003C1C01"/>
    <w:rsid w:val="003C1DB5"/>
    <w:rsid w:val="003C4C79"/>
    <w:rsid w:val="003C4F92"/>
    <w:rsid w:val="003C5F53"/>
    <w:rsid w:val="003C62A8"/>
    <w:rsid w:val="003C6727"/>
    <w:rsid w:val="003C718F"/>
    <w:rsid w:val="003C7AD2"/>
    <w:rsid w:val="003D21E1"/>
    <w:rsid w:val="003D3BB4"/>
    <w:rsid w:val="003D405B"/>
    <w:rsid w:val="003D5D62"/>
    <w:rsid w:val="003D68B1"/>
    <w:rsid w:val="003E0986"/>
    <w:rsid w:val="003E30AC"/>
    <w:rsid w:val="003E331E"/>
    <w:rsid w:val="003E3D82"/>
    <w:rsid w:val="003E4A2C"/>
    <w:rsid w:val="003E4D6A"/>
    <w:rsid w:val="003E5062"/>
    <w:rsid w:val="003E55F8"/>
    <w:rsid w:val="003E5E7A"/>
    <w:rsid w:val="003E6924"/>
    <w:rsid w:val="003E6C03"/>
    <w:rsid w:val="003E790A"/>
    <w:rsid w:val="003E79C3"/>
    <w:rsid w:val="003F0D18"/>
    <w:rsid w:val="003F1328"/>
    <w:rsid w:val="003F3601"/>
    <w:rsid w:val="003F40BA"/>
    <w:rsid w:val="003F42DB"/>
    <w:rsid w:val="003F5C92"/>
    <w:rsid w:val="003F5D59"/>
    <w:rsid w:val="003F6DE2"/>
    <w:rsid w:val="003F7259"/>
    <w:rsid w:val="004001B4"/>
    <w:rsid w:val="00400D52"/>
    <w:rsid w:val="00401335"/>
    <w:rsid w:val="004018DE"/>
    <w:rsid w:val="0040304C"/>
    <w:rsid w:val="004034C3"/>
    <w:rsid w:val="00403A6D"/>
    <w:rsid w:val="004040CC"/>
    <w:rsid w:val="00404ACE"/>
    <w:rsid w:val="00405F30"/>
    <w:rsid w:val="00406D86"/>
    <w:rsid w:val="00406D92"/>
    <w:rsid w:val="00410FC6"/>
    <w:rsid w:val="00411F5A"/>
    <w:rsid w:val="00413887"/>
    <w:rsid w:val="0041404B"/>
    <w:rsid w:val="004151D3"/>
    <w:rsid w:val="00415A00"/>
    <w:rsid w:val="00415BDB"/>
    <w:rsid w:val="00415DAC"/>
    <w:rsid w:val="00416087"/>
    <w:rsid w:val="004178F5"/>
    <w:rsid w:val="00417A3C"/>
    <w:rsid w:val="00417CC7"/>
    <w:rsid w:val="00420EC5"/>
    <w:rsid w:val="00421AEE"/>
    <w:rsid w:val="0042246E"/>
    <w:rsid w:val="00422688"/>
    <w:rsid w:val="004237D9"/>
    <w:rsid w:val="00423913"/>
    <w:rsid w:val="00424DAD"/>
    <w:rsid w:val="00425C6B"/>
    <w:rsid w:val="00425E4C"/>
    <w:rsid w:val="004263A4"/>
    <w:rsid w:val="00426832"/>
    <w:rsid w:val="0042728B"/>
    <w:rsid w:val="004305CE"/>
    <w:rsid w:val="004312D9"/>
    <w:rsid w:val="004315D4"/>
    <w:rsid w:val="0043172B"/>
    <w:rsid w:val="00432483"/>
    <w:rsid w:val="004325AF"/>
    <w:rsid w:val="00432C27"/>
    <w:rsid w:val="004333D4"/>
    <w:rsid w:val="00433FB6"/>
    <w:rsid w:val="0043421C"/>
    <w:rsid w:val="00434DEA"/>
    <w:rsid w:val="00434EB3"/>
    <w:rsid w:val="004369C2"/>
    <w:rsid w:val="00436A20"/>
    <w:rsid w:val="00436E6A"/>
    <w:rsid w:val="004374D4"/>
    <w:rsid w:val="00437623"/>
    <w:rsid w:val="0043791B"/>
    <w:rsid w:val="00437AA6"/>
    <w:rsid w:val="004403DE"/>
    <w:rsid w:val="00440765"/>
    <w:rsid w:val="00440C5B"/>
    <w:rsid w:val="004429F7"/>
    <w:rsid w:val="0044359A"/>
    <w:rsid w:val="00445AA0"/>
    <w:rsid w:val="00446CB0"/>
    <w:rsid w:val="00446E5F"/>
    <w:rsid w:val="00446F38"/>
    <w:rsid w:val="004475BA"/>
    <w:rsid w:val="00447738"/>
    <w:rsid w:val="00447D37"/>
    <w:rsid w:val="00450A90"/>
    <w:rsid w:val="00452408"/>
    <w:rsid w:val="00453CEB"/>
    <w:rsid w:val="004541A9"/>
    <w:rsid w:val="004549E8"/>
    <w:rsid w:val="00454CF8"/>
    <w:rsid w:val="004556E7"/>
    <w:rsid w:val="00455D7B"/>
    <w:rsid w:val="004566E8"/>
    <w:rsid w:val="004572C1"/>
    <w:rsid w:val="00457F31"/>
    <w:rsid w:val="0046071A"/>
    <w:rsid w:val="00462E21"/>
    <w:rsid w:val="00462E88"/>
    <w:rsid w:val="00463501"/>
    <w:rsid w:val="00463785"/>
    <w:rsid w:val="00463915"/>
    <w:rsid w:val="004660E0"/>
    <w:rsid w:val="00466620"/>
    <w:rsid w:val="004668F5"/>
    <w:rsid w:val="00466BF8"/>
    <w:rsid w:val="00470755"/>
    <w:rsid w:val="00470877"/>
    <w:rsid w:val="00470E4C"/>
    <w:rsid w:val="0047184E"/>
    <w:rsid w:val="00472F03"/>
    <w:rsid w:val="0047340C"/>
    <w:rsid w:val="00473E9F"/>
    <w:rsid w:val="00474535"/>
    <w:rsid w:val="00474C6B"/>
    <w:rsid w:val="00474E77"/>
    <w:rsid w:val="004758A4"/>
    <w:rsid w:val="004765C5"/>
    <w:rsid w:val="00477A62"/>
    <w:rsid w:val="00477D4F"/>
    <w:rsid w:val="00481553"/>
    <w:rsid w:val="00481962"/>
    <w:rsid w:val="004825FB"/>
    <w:rsid w:val="00482999"/>
    <w:rsid w:val="00483457"/>
    <w:rsid w:val="004841EB"/>
    <w:rsid w:val="004845E4"/>
    <w:rsid w:val="00484FAD"/>
    <w:rsid w:val="00484FE8"/>
    <w:rsid w:val="00485CDC"/>
    <w:rsid w:val="004900F7"/>
    <w:rsid w:val="004906FB"/>
    <w:rsid w:val="00490A81"/>
    <w:rsid w:val="00490E1B"/>
    <w:rsid w:val="00490ED8"/>
    <w:rsid w:val="00490FF5"/>
    <w:rsid w:val="00492A73"/>
    <w:rsid w:val="00493E71"/>
    <w:rsid w:val="00493FEE"/>
    <w:rsid w:val="004956F2"/>
    <w:rsid w:val="00496A43"/>
    <w:rsid w:val="00496D00"/>
    <w:rsid w:val="00497D05"/>
    <w:rsid w:val="00497E34"/>
    <w:rsid w:val="004A02ED"/>
    <w:rsid w:val="004A12C1"/>
    <w:rsid w:val="004A2738"/>
    <w:rsid w:val="004A2E83"/>
    <w:rsid w:val="004A345B"/>
    <w:rsid w:val="004A4E29"/>
    <w:rsid w:val="004A50CD"/>
    <w:rsid w:val="004A52AF"/>
    <w:rsid w:val="004A5A69"/>
    <w:rsid w:val="004A5C81"/>
    <w:rsid w:val="004A5E43"/>
    <w:rsid w:val="004A6AAF"/>
    <w:rsid w:val="004A6E29"/>
    <w:rsid w:val="004A7506"/>
    <w:rsid w:val="004B02BD"/>
    <w:rsid w:val="004B06CF"/>
    <w:rsid w:val="004B13AA"/>
    <w:rsid w:val="004B1B3B"/>
    <w:rsid w:val="004B2B3A"/>
    <w:rsid w:val="004B3CCD"/>
    <w:rsid w:val="004B480E"/>
    <w:rsid w:val="004B5292"/>
    <w:rsid w:val="004B6A63"/>
    <w:rsid w:val="004B6C7A"/>
    <w:rsid w:val="004C19AF"/>
    <w:rsid w:val="004C1EC3"/>
    <w:rsid w:val="004C2562"/>
    <w:rsid w:val="004C3064"/>
    <w:rsid w:val="004C30FC"/>
    <w:rsid w:val="004C38B6"/>
    <w:rsid w:val="004C3A1C"/>
    <w:rsid w:val="004C4C3D"/>
    <w:rsid w:val="004C5B9F"/>
    <w:rsid w:val="004C6380"/>
    <w:rsid w:val="004C676B"/>
    <w:rsid w:val="004C6CB1"/>
    <w:rsid w:val="004C7388"/>
    <w:rsid w:val="004C7740"/>
    <w:rsid w:val="004C777C"/>
    <w:rsid w:val="004C7EBB"/>
    <w:rsid w:val="004D136B"/>
    <w:rsid w:val="004D14A4"/>
    <w:rsid w:val="004D1574"/>
    <w:rsid w:val="004D1593"/>
    <w:rsid w:val="004D1597"/>
    <w:rsid w:val="004D22D5"/>
    <w:rsid w:val="004D2B24"/>
    <w:rsid w:val="004D308F"/>
    <w:rsid w:val="004D408A"/>
    <w:rsid w:val="004D4EA8"/>
    <w:rsid w:val="004D4F33"/>
    <w:rsid w:val="004D55FA"/>
    <w:rsid w:val="004D65F9"/>
    <w:rsid w:val="004D6E72"/>
    <w:rsid w:val="004D75B2"/>
    <w:rsid w:val="004E05DD"/>
    <w:rsid w:val="004E1EA2"/>
    <w:rsid w:val="004E665A"/>
    <w:rsid w:val="004E6C55"/>
    <w:rsid w:val="004E6D30"/>
    <w:rsid w:val="004E6D5E"/>
    <w:rsid w:val="004E7828"/>
    <w:rsid w:val="004F0016"/>
    <w:rsid w:val="004F09BD"/>
    <w:rsid w:val="004F2EA2"/>
    <w:rsid w:val="004F3AB5"/>
    <w:rsid w:val="004F50E1"/>
    <w:rsid w:val="004F5205"/>
    <w:rsid w:val="004F5316"/>
    <w:rsid w:val="004F5492"/>
    <w:rsid w:val="004F6821"/>
    <w:rsid w:val="004F7728"/>
    <w:rsid w:val="00501323"/>
    <w:rsid w:val="00501720"/>
    <w:rsid w:val="00501C6B"/>
    <w:rsid w:val="00501FCD"/>
    <w:rsid w:val="0050277E"/>
    <w:rsid w:val="005039DC"/>
    <w:rsid w:val="005043AB"/>
    <w:rsid w:val="0050525D"/>
    <w:rsid w:val="0050557E"/>
    <w:rsid w:val="00506040"/>
    <w:rsid w:val="005062BE"/>
    <w:rsid w:val="00507241"/>
    <w:rsid w:val="00507478"/>
    <w:rsid w:val="00507A73"/>
    <w:rsid w:val="00510DC6"/>
    <w:rsid w:val="00510E93"/>
    <w:rsid w:val="0051151D"/>
    <w:rsid w:val="0051189A"/>
    <w:rsid w:val="00511A35"/>
    <w:rsid w:val="00512716"/>
    <w:rsid w:val="0051285F"/>
    <w:rsid w:val="00512B77"/>
    <w:rsid w:val="00513444"/>
    <w:rsid w:val="005141A5"/>
    <w:rsid w:val="00514967"/>
    <w:rsid w:val="00514A86"/>
    <w:rsid w:val="005151C4"/>
    <w:rsid w:val="00517686"/>
    <w:rsid w:val="005203CC"/>
    <w:rsid w:val="00520EBC"/>
    <w:rsid w:val="0052273E"/>
    <w:rsid w:val="00523DA2"/>
    <w:rsid w:val="00523F3A"/>
    <w:rsid w:val="00524263"/>
    <w:rsid w:val="00524941"/>
    <w:rsid w:val="00525A30"/>
    <w:rsid w:val="0052653B"/>
    <w:rsid w:val="0052734E"/>
    <w:rsid w:val="005277C8"/>
    <w:rsid w:val="005277FB"/>
    <w:rsid w:val="00527ACF"/>
    <w:rsid w:val="00527F8F"/>
    <w:rsid w:val="00531470"/>
    <w:rsid w:val="00531F51"/>
    <w:rsid w:val="005334E2"/>
    <w:rsid w:val="005335E7"/>
    <w:rsid w:val="00533C58"/>
    <w:rsid w:val="005359A2"/>
    <w:rsid w:val="00535F4A"/>
    <w:rsid w:val="00536117"/>
    <w:rsid w:val="0053626D"/>
    <w:rsid w:val="00537A4A"/>
    <w:rsid w:val="00537B34"/>
    <w:rsid w:val="00540B2D"/>
    <w:rsid w:val="00542206"/>
    <w:rsid w:val="00543268"/>
    <w:rsid w:val="00543F60"/>
    <w:rsid w:val="00543F73"/>
    <w:rsid w:val="005455A3"/>
    <w:rsid w:val="005458FD"/>
    <w:rsid w:val="00545AC1"/>
    <w:rsid w:val="00546DC3"/>
    <w:rsid w:val="00547965"/>
    <w:rsid w:val="0054798C"/>
    <w:rsid w:val="0055023C"/>
    <w:rsid w:val="00550E26"/>
    <w:rsid w:val="0055100A"/>
    <w:rsid w:val="00551B29"/>
    <w:rsid w:val="00551B4E"/>
    <w:rsid w:val="00551D6A"/>
    <w:rsid w:val="005522D2"/>
    <w:rsid w:val="00552BF0"/>
    <w:rsid w:val="005538C0"/>
    <w:rsid w:val="0055394B"/>
    <w:rsid w:val="005546D1"/>
    <w:rsid w:val="0056064F"/>
    <w:rsid w:val="00560834"/>
    <w:rsid w:val="005614BA"/>
    <w:rsid w:val="005617F8"/>
    <w:rsid w:val="00562381"/>
    <w:rsid w:val="00563B30"/>
    <w:rsid w:val="00563CD7"/>
    <w:rsid w:val="00564191"/>
    <w:rsid w:val="00564F3D"/>
    <w:rsid w:val="00565904"/>
    <w:rsid w:val="00565E3A"/>
    <w:rsid w:val="00566927"/>
    <w:rsid w:val="00566BE7"/>
    <w:rsid w:val="00567E7A"/>
    <w:rsid w:val="005702A7"/>
    <w:rsid w:val="00571611"/>
    <w:rsid w:val="00571670"/>
    <w:rsid w:val="005720BE"/>
    <w:rsid w:val="00572188"/>
    <w:rsid w:val="005729AF"/>
    <w:rsid w:val="00572B44"/>
    <w:rsid w:val="005737CA"/>
    <w:rsid w:val="00574FC8"/>
    <w:rsid w:val="00575E09"/>
    <w:rsid w:val="00575EBB"/>
    <w:rsid w:val="00576B6A"/>
    <w:rsid w:val="00576D9B"/>
    <w:rsid w:val="00576E46"/>
    <w:rsid w:val="00577F65"/>
    <w:rsid w:val="0058104A"/>
    <w:rsid w:val="005814A3"/>
    <w:rsid w:val="00581852"/>
    <w:rsid w:val="00582BB6"/>
    <w:rsid w:val="005831C0"/>
    <w:rsid w:val="00583307"/>
    <w:rsid w:val="005837D0"/>
    <w:rsid w:val="005838A0"/>
    <w:rsid w:val="00583A89"/>
    <w:rsid w:val="00584D8B"/>
    <w:rsid w:val="00584D96"/>
    <w:rsid w:val="0058582F"/>
    <w:rsid w:val="005860CC"/>
    <w:rsid w:val="005875EC"/>
    <w:rsid w:val="00587B59"/>
    <w:rsid w:val="00590276"/>
    <w:rsid w:val="0059041B"/>
    <w:rsid w:val="00590B3E"/>
    <w:rsid w:val="00591001"/>
    <w:rsid w:val="00591749"/>
    <w:rsid w:val="00591C8D"/>
    <w:rsid w:val="0059308A"/>
    <w:rsid w:val="005936AF"/>
    <w:rsid w:val="00593B2E"/>
    <w:rsid w:val="0059408B"/>
    <w:rsid w:val="005944D5"/>
    <w:rsid w:val="0059498E"/>
    <w:rsid w:val="005951AC"/>
    <w:rsid w:val="00595856"/>
    <w:rsid w:val="005964E5"/>
    <w:rsid w:val="005968FE"/>
    <w:rsid w:val="005A0237"/>
    <w:rsid w:val="005A24AF"/>
    <w:rsid w:val="005A29AB"/>
    <w:rsid w:val="005A340B"/>
    <w:rsid w:val="005A3690"/>
    <w:rsid w:val="005A395A"/>
    <w:rsid w:val="005A3B73"/>
    <w:rsid w:val="005A3CDF"/>
    <w:rsid w:val="005A3CE8"/>
    <w:rsid w:val="005A5582"/>
    <w:rsid w:val="005A660F"/>
    <w:rsid w:val="005A6E57"/>
    <w:rsid w:val="005A76BE"/>
    <w:rsid w:val="005A77B2"/>
    <w:rsid w:val="005A7908"/>
    <w:rsid w:val="005B065C"/>
    <w:rsid w:val="005B1D15"/>
    <w:rsid w:val="005B2963"/>
    <w:rsid w:val="005B2970"/>
    <w:rsid w:val="005B2EF2"/>
    <w:rsid w:val="005B30DA"/>
    <w:rsid w:val="005B350A"/>
    <w:rsid w:val="005B4F5D"/>
    <w:rsid w:val="005B519A"/>
    <w:rsid w:val="005B6C2F"/>
    <w:rsid w:val="005B6EE8"/>
    <w:rsid w:val="005B7D0E"/>
    <w:rsid w:val="005C0F94"/>
    <w:rsid w:val="005C1415"/>
    <w:rsid w:val="005C274A"/>
    <w:rsid w:val="005C2F66"/>
    <w:rsid w:val="005C3291"/>
    <w:rsid w:val="005C4AC6"/>
    <w:rsid w:val="005C4D1A"/>
    <w:rsid w:val="005C5715"/>
    <w:rsid w:val="005C64E4"/>
    <w:rsid w:val="005C7560"/>
    <w:rsid w:val="005C7645"/>
    <w:rsid w:val="005D2F4E"/>
    <w:rsid w:val="005D321D"/>
    <w:rsid w:val="005D384C"/>
    <w:rsid w:val="005D3AC0"/>
    <w:rsid w:val="005D45CA"/>
    <w:rsid w:val="005D57AD"/>
    <w:rsid w:val="005D62F0"/>
    <w:rsid w:val="005D6DD0"/>
    <w:rsid w:val="005D6DDF"/>
    <w:rsid w:val="005D701A"/>
    <w:rsid w:val="005D7527"/>
    <w:rsid w:val="005E01DE"/>
    <w:rsid w:val="005E03F6"/>
    <w:rsid w:val="005E0582"/>
    <w:rsid w:val="005E16F0"/>
    <w:rsid w:val="005E4D7C"/>
    <w:rsid w:val="005E5CAE"/>
    <w:rsid w:val="005E6825"/>
    <w:rsid w:val="005E7DFC"/>
    <w:rsid w:val="005F1BF5"/>
    <w:rsid w:val="005F2EA7"/>
    <w:rsid w:val="005F2F25"/>
    <w:rsid w:val="005F44CB"/>
    <w:rsid w:val="005F480D"/>
    <w:rsid w:val="005F5BAD"/>
    <w:rsid w:val="005F605E"/>
    <w:rsid w:val="005F6D82"/>
    <w:rsid w:val="005F6EDA"/>
    <w:rsid w:val="005F6F1D"/>
    <w:rsid w:val="005F7A09"/>
    <w:rsid w:val="005F7CDD"/>
    <w:rsid w:val="00602568"/>
    <w:rsid w:val="0060285E"/>
    <w:rsid w:val="006045A4"/>
    <w:rsid w:val="00604CA4"/>
    <w:rsid w:val="006056B4"/>
    <w:rsid w:val="00605E71"/>
    <w:rsid w:val="00610BE3"/>
    <w:rsid w:val="00610DC1"/>
    <w:rsid w:val="006128E2"/>
    <w:rsid w:val="00612B50"/>
    <w:rsid w:val="00612C60"/>
    <w:rsid w:val="00612DB5"/>
    <w:rsid w:val="006131C6"/>
    <w:rsid w:val="00613528"/>
    <w:rsid w:val="00613AD1"/>
    <w:rsid w:val="006206D3"/>
    <w:rsid w:val="00620721"/>
    <w:rsid w:val="0062178B"/>
    <w:rsid w:val="00622804"/>
    <w:rsid w:val="00623558"/>
    <w:rsid w:val="00623CCD"/>
    <w:rsid w:val="006242A3"/>
    <w:rsid w:val="006243AE"/>
    <w:rsid w:val="006246BF"/>
    <w:rsid w:val="00624E33"/>
    <w:rsid w:val="00626274"/>
    <w:rsid w:val="0062634B"/>
    <w:rsid w:val="00626463"/>
    <w:rsid w:val="006325F5"/>
    <w:rsid w:val="00632DB1"/>
    <w:rsid w:val="00632FA6"/>
    <w:rsid w:val="00633394"/>
    <w:rsid w:val="006333F2"/>
    <w:rsid w:val="00633E6C"/>
    <w:rsid w:val="00633F4E"/>
    <w:rsid w:val="00635109"/>
    <w:rsid w:val="006359A7"/>
    <w:rsid w:val="006368A2"/>
    <w:rsid w:val="0063777B"/>
    <w:rsid w:val="00640452"/>
    <w:rsid w:val="006405A4"/>
    <w:rsid w:val="00640C5E"/>
    <w:rsid w:val="00641270"/>
    <w:rsid w:val="006415C7"/>
    <w:rsid w:val="00641AA1"/>
    <w:rsid w:val="00641AA6"/>
    <w:rsid w:val="0064264B"/>
    <w:rsid w:val="006427B1"/>
    <w:rsid w:val="00642879"/>
    <w:rsid w:val="00643E9C"/>
    <w:rsid w:val="00644219"/>
    <w:rsid w:val="006453CF"/>
    <w:rsid w:val="00645545"/>
    <w:rsid w:val="006459A6"/>
    <w:rsid w:val="006516B2"/>
    <w:rsid w:val="006517E2"/>
    <w:rsid w:val="00652396"/>
    <w:rsid w:val="00652651"/>
    <w:rsid w:val="00652E07"/>
    <w:rsid w:val="00653663"/>
    <w:rsid w:val="0065383F"/>
    <w:rsid w:val="00654FC7"/>
    <w:rsid w:val="0065528A"/>
    <w:rsid w:val="006562F1"/>
    <w:rsid w:val="006567BA"/>
    <w:rsid w:val="006578D8"/>
    <w:rsid w:val="00660A5D"/>
    <w:rsid w:val="0066192D"/>
    <w:rsid w:val="00662CCC"/>
    <w:rsid w:val="00664A04"/>
    <w:rsid w:val="00664A98"/>
    <w:rsid w:val="00664D17"/>
    <w:rsid w:val="00665391"/>
    <w:rsid w:val="00665812"/>
    <w:rsid w:val="00665945"/>
    <w:rsid w:val="00665AA3"/>
    <w:rsid w:val="00665C08"/>
    <w:rsid w:val="0066782F"/>
    <w:rsid w:val="006707C1"/>
    <w:rsid w:val="00670D66"/>
    <w:rsid w:val="006710C6"/>
    <w:rsid w:val="00671847"/>
    <w:rsid w:val="00671AEE"/>
    <w:rsid w:val="00672EC5"/>
    <w:rsid w:val="00673004"/>
    <w:rsid w:val="0067396A"/>
    <w:rsid w:val="00673C68"/>
    <w:rsid w:val="00674966"/>
    <w:rsid w:val="00674FB6"/>
    <w:rsid w:val="00676AFB"/>
    <w:rsid w:val="00676C68"/>
    <w:rsid w:val="006771F3"/>
    <w:rsid w:val="00677C4C"/>
    <w:rsid w:val="006804C7"/>
    <w:rsid w:val="00680B9D"/>
    <w:rsid w:val="00681508"/>
    <w:rsid w:val="006815AA"/>
    <w:rsid w:val="00681B32"/>
    <w:rsid w:val="00682570"/>
    <w:rsid w:val="00682811"/>
    <w:rsid w:val="006839E1"/>
    <w:rsid w:val="00684018"/>
    <w:rsid w:val="0068463C"/>
    <w:rsid w:val="00684E2D"/>
    <w:rsid w:val="006856B9"/>
    <w:rsid w:val="006858BC"/>
    <w:rsid w:val="00685ED8"/>
    <w:rsid w:val="006864C7"/>
    <w:rsid w:val="00686F98"/>
    <w:rsid w:val="006874B7"/>
    <w:rsid w:val="006879D2"/>
    <w:rsid w:val="00687A7F"/>
    <w:rsid w:val="00687F5F"/>
    <w:rsid w:val="00690A7B"/>
    <w:rsid w:val="00693D66"/>
    <w:rsid w:val="00695068"/>
    <w:rsid w:val="00697D59"/>
    <w:rsid w:val="006A0351"/>
    <w:rsid w:val="006A085F"/>
    <w:rsid w:val="006A0932"/>
    <w:rsid w:val="006A0C6C"/>
    <w:rsid w:val="006A1BF1"/>
    <w:rsid w:val="006A1C3E"/>
    <w:rsid w:val="006A1C6E"/>
    <w:rsid w:val="006A2167"/>
    <w:rsid w:val="006A223F"/>
    <w:rsid w:val="006A391C"/>
    <w:rsid w:val="006A4894"/>
    <w:rsid w:val="006A5429"/>
    <w:rsid w:val="006A64E9"/>
    <w:rsid w:val="006A6875"/>
    <w:rsid w:val="006A70D4"/>
    <w:rsid w:val="006A720F"/>
    <w:rsid w:val="006A7E65"/>
    <w:rsid w:val="006B04D6"/>
    <w:rsid w:val="006B0AC5"/>
    <w:rsid w:val="006B33C5"/>
    <w:rsid w:val="006B376E"/>
    <w:rsid w:val="006B3961"/>
    <w:rsid w:val="006B3AC9"/>
    <w:rsid w:val="006B48EE"/>
    <w:rsid w:val="006B4D8C"/>
    <w:rsid w:val="006B581C"/>
    <w:rsid w:val="006B60D9"/>
    <w:rsid w:val="006B6773"/>
    <w:rsid w:val="006B712C"/>
    <w:rsid w:val="006B773E"/>
    <w:rsid w:val="006C0979"/>
    <w:rsid w:val="006C0E59"/>
    <w:rsid w:val="006C1028"/>
    <w:rsid w:val="006C218A"/>
    <w:rsid w:val="006C2AC4"/>
    <w:rsid w:val="006C2CB2"/>
    <w:rsid w:val="006C3053"/>
    <w:rsid w:val="006C35CB"/>
    <w:rsid w:val="006C38B6"/>
    <w:rsid w:val="006C3A34"/>
    <w:rsid w:val="006C50A3"/>
    <w:rsid w:val="006C665F"/>
    <w:rsid w:val="006C73C6"/>
    <w:rsid w:val="006C7CAF"/>
    <w:rsid w:val="006D0D50"/>
    <w:rsid w:val="006D15A9"/>
    <w:rsid w:val="006D18D3"/>
    <w:rsid w:val="006D1993"/>
    <w:rsid w:val="006D2BDC"/>
    <w:rsid w:val="006D357B"/>
    <w:rsid w:val="006D3C72"/>
    <w:rsid w:val="006D543F"/>
    <w:rsid w:val="006D5476"/>
    <w:rsid w:val="006D6633"/>
    <w:rsid w:val="006D672B"/>
    <w:rsid w:val="006D6898"/>
    <w:rsid w:val="006D6CA6"/>
    <w:rsid w:val="006E0E2F"/>
    <w:rsid w:val="006E0F82"/>
    <w:rsid w:val="006E1917"/>
    <w:rsid w:val="006E262B"/>
    <w:rsid w:val="006E2B1C"/>
    <w:rsid w:val="006E384D"/>
    <w:rsid w:val="006E402F"/>
    <w:rsid w:val="006E52F9"/>
    <w:rsid w:val="006E6541"/>
    <w:rsid w:val="006E72EB"/>
    <w:rsid w:val="006F0F4B"/>
    <w:rsid w:val="006F14C3"/>
    <w:rsid w:val="006F187F"/>
    <w:rsid w:val="006F1CE5"/>
    <w:rsid w:val="006F21DC"/>
    <w:rsid w:val="006F2CFB"/>
    <w:rsid w:val="006F373F"/>
    <w:rsid w:val="006F44AB"/>
    <w:rsid w:val="006F4B32"/>
    <w:rsid w:val="006F5835"/>
    <w:rsid w:val="006F59E3"/>
    <w:rsid w:val="006F5E72"/>
    <w:rsid w:val="006F69B0"/>
    <w:rsid w:val="00700D32"/>
    <w:rsid w:val="00701018"/>
    <w:rsid w:val="00702CDD"/>
    <w:rsid w:val="00703194"/>
    <w:rsid w:val="007044B9"/>
    <w:rsid w:val="007047F4"/>
    <w:rsid w:val="00704BFD"/>
    <w:rsid w:val="00705124"/>
    <w:rsid w:val="007056E2"/>
    <w:rsid w:val="00705FF2"/>
    <w:rsid w:val="00706BC8"/>
    <w:rsid w:val="007074C2"/>
    <w:rsid w:val="00707A38"/>
    <w:rsid w:val="0071060B"/>
    <w:rsid w:val="00713141"/>
    <w:rsid w:val="0071319E"/>
    <w:rsid w:val="00713289"/>
    <w:rsid w:val="00713573"/>
    <w:rsid w:val="00713E25"/>
    <w:rsid w:val="00714657"/>
    <w:rsid w:val="007146BF"/>
    <w:rsid w:val="00715FDF"/>
    <w:rsid w:val="00716273"/>
    <w:rsid w:val="00716AA0"/>
    <w:rsid w:val="00716BFD"/>
    <w:rsid w:val="00717115"/>
    <w:rsid w:val="007176CD"/>
    <w:rsid w:val="00717BF4"/>
    <w:rsid w:val="00720045"/>
    <w:rsid w:val="00720A17"/>
    <w:rsid w:val="007216AA"/>
    <w:rsid w:val="00721839"/>
    <w:rsid w:val="0072216E"/>
    <w:rsid w:val="00723484"/>
    <w:rsid w:val="00723ABE"/>
    <w:rsid w:val="00723C18"/>
    <w:rsid w:val="00724E7E"/>
    <w:rsid w:val="00725A1E"/>
    <w:rsid w:val="00725B13"/>
    <w:rsid w:val="00726F2E"/>
    <w:rsid w:val="00726F8A"/>
    <w:rsid w:val="007310D6"/>
    <w:rsid w:val="00731271"/>
    <w:rsid w:val="00731429"/>
    <w:rsid w:val="00731675"/>
    <w:rsid w:val="007316D7"/>
    <w:rsid w:val="00731CAA"/>
    <w:rsid w:val="0073274B"/>
    <w:rsid w:val="007341C3"/>
    <w:rsid w:val="007343A0"/>
    <w:rsid w:val="00734487"/>
    <w:rsid w:val="007345C7"/>
    <w:rsid w:val="007351B3"/>
    <w:rsid w:val="00735F06"/>
    <w:rsid w:val="007379B4"/>
    <w:rsid w:val="007402D7"/>
    <w:rsid w:val="00740F37"/>
    <w:rsid w:val="0074144A"/>
    <w:rsid w:val="00741B9E"/>
    <w:rsid w:val="007427D2"/>
    <w:rsid w:val="0074327E"/>
    <w:rsid w:val="0074419C"/>
    <w:rsid w:val="00744984"/>
    <w:rsid w:val="00746364"/>
    <w:rsid w:val="007463DE"/>
    <w:rsid w:val="00747667"/>
    <w:rsid w:val="00752395"/>
    <w:rsid w:val="00753282"/>
    <w:rsid w:val="00753BB4"/>
    <w:rsid w:val="00753F3E"/>
    <w:rsid w:val="00754383"/>
    <w:rsid w:val="00756AB7"/>
    <w:rsid w:val="007575F0"/>
    <w:rsid w:val="00757B42"/>
    <w:rsid w:val="00760FE0"/>
    <w:rsid w:val="00761BE5"/>
    <w:rsid w:val="00763088"/>
    <w:rsid w:val="00765230"/>
    <w:rsid w:val="00766060"/>
    <w:rsid w:val="0076624C"/>
    <w:rsid w:val="00770B70"/>
    <w:rsid w:val="00770C9A"/>
    <w:rsid w:val="007723EF"/>
    <w:rsid w:val="00772A73"/>
    <w:rsid w:val="00773562"/>
    <w:rsid w:val="0077453B"/>
    <w:rsid w:val="00776DC2"/>
    <w:rsid w:val="00776DE9"/>
    <w:rsid w:val="007775A8"/>
    <w:rsid w:val="00777FB0"/>
    <w:rsid w:val="00780791"/>
    <w:rsid w:val="00780BFB"/>
    <w:rsid w:val="007818E7"/>
    <w:rsid w:val="00782EDA"/>
    <w:rsid w:val="00783CCB"/>
    <w:rsid w:val="00783F65"/>
    <w:rsid w:val="007840D2"/>
    <w:rsid w:val="0078488E"/>
    <w:rsid w:val="00784CC9"/>
    <w:rsid w:val="0078527A"/>
    <w:rsid w:val="007863C7"/>
    <w:rsid w:val="007867FE"/>
    <w:rsid w:val="00786D3A"/>
    <w:rsid w:val="00786DD7"/>
    <w:rsid w:val="00790454"/>
    <w:rsid w:val="00791501"/>
    <w:rsid w:val="00791CC3"/>
    <w:rsid w:val="00791CCE"/>
    <w:rsid w:val="0079203F"/>
    <w:rsid w:val="00794384"/>
    <w:rsid w:val="00795142"/>
    <w:rsid w:val="007953E4"/>
    <w:rsid w:val="00795475"/>
    <w:rsid w:val="007965CB"/>
    <w:rsid w:val="0079688B"/>
    <w:rsid w:val="00796A02"/>
    <w:rsid w:val="00796DA7"/>
    <w:rsid w:val="007A0E36"/>
    <w:rsid w:val="007A0E9F"/>
    <w:rsid w:val="007A10D6"/>
    <w:rsid w:val="007A326C"/>
    <w:rsid w:val="007A378D"/>
    <w:rsid w:val="007A4FE2"/>
    <w:rsid w:val="007A5737"/>
    <w:rsid w:val="007A5F3C"/>
    <w:rsid w:val="007A67F6"/>
    <w:rsid w:val="007A68E0"/>
    <w:rsid w:val="007A7903"/>
    <w:rsid w:val="007B050E"/>
    <w:rsid w:val="007B2393"/>
    <w:rsid w:val="007B2C71"/>
    <w:rsid w:val="007B2DAD"/>
    <w:rsid w:val="007B3447"/>
    <w:rsid w:val="007B511C"/>
    <w:rsid w:val="007B5AEA"/>
    <w:rsid w:val="007B606D"/>
    <w:rsid w:val="007B61BF"/>
    <w:rsid w:val="007B633A"/>
    <w:rsid w:val="007B6F13"/>
    <w:rsid w:val="007B7890"/>
    <w:rsid w:val="007B791B"/>
    <w:rsid w:val="007C05F7"/>
    <w:rsid w:val="007C0C62"/>
    <w:rsid w:val="007C10B6"/>
    <w:rsid w:val="007C2AA2"/>
    <w:rsid w:val="007C3B91"/>
    <w:rsid w:val="007C43D0"/>
    <w:rsid w:val="007C4F73"/>
    <w:rsid w:val="007C5CA1"/>
    <w:rsid w:val="007C6CD7"/>
    <w:rsid w:val="007C6D1D"/>
    <w:rsid w:val="007C73FD"/>
    <w:rsid w:val="007C7686"/>
    <w:rsid w:val="007D0389"/>
    <w:rsid w:val="007D0AFE"/>
    <w:rsid w:val="007D0BDD"/>
    <w:rsid w:val="007D1082"/>
    <w:rsid w:val="007D1BBB"/>
    <w:rsid w:val="007D2067"/>
    <w:rsid w:val="007D3987"/>
    <w:rsid w:val="007D3D2A"/>
    <w:rsid w:val="007D3EF8"/>
    <w:rsid w:val="007D423F"/>
    <w:rsid w:val="007D44A3"/>
    <w:rsid w:val="007D4816"/>
    <w:rsid w:val="007D4DF8"/>
    <w:rsid w:val="007D64CA"/>
    <w:rsid w:val="007D7CD3"/>
    <w:rsid w:val="007E17F7"/>
    <w:rsid w:val="007E3880"/>
    <w:rsid w:val="007E3EA7"/>
    <w:rsid w:val="007E5A09"/>
    <w:rsid w:val="007E6242"/>
    <w:rsid w:val="007E62E8"/>
    <w:rsid w:val="007E6F7E"/>
    <w:rsid w:val="007F03C0"/>
    <w:rsid w:val="007F0B85"/>
    <w:rsid w:val="007F0FE6"/>
    <w:rsid w:val="007F2530"/>
    <w:rsid w:val="007F2CF9"/>
    <w:rsid w:val="007F4A91"/>
    <w:rsid w:val="007F4DE7"/>
    <w:rsid w:val="007F5111"/>
    <w:rsid w:val="007F565B"/>
    <w:rsid w:val="007F7530"/>
    <w:rsid w:val="007F7AD8"/>
    <w:rsid w:val="008002E8"/>
    <w:rsid w:val="00800994"/>
    <w:rsid w:val="00801B76"/>
    <w:rsid w:val="00802323"/>
    <w:rsid w:val="0080274C"/>
    <w:rsid w:val="00803888"/>
    <w:rsid w:val="008048ED"/>
    <w:rsid w:val="00805C97"/>
    <w:rsid w:val="00806C14"/>
    <w:rsid w:val="00810331"/>
    <w:rsid w:val="00810349"/>
    <w:rsid w:val="00810923"/>
    <w:rsid w:val="00810BD3"/>
    <w:rsid w:val="008113D9"/>
    <w:rsid w:val="0081272A"/>
    <w:rsid w:val="0081277E"/>
    <w:rsid w:val="008139B7"/>
    <w:rsid w:val="00814B7B"/>
    <w:rsid w:val="008155A8"/>
    <w:rsid w:val="008155AA"/>
    <w:rsid w:val="00817448"/>
    <w:rsid w:val="00817B7C"/>
    <w:rsid w:val="00820C5F"/>
    <w:rsid w:val="008214D9"/>
    <w:rsid w:val="00821CDA"/>
    <w:rsid w:val="00821D0C"/>
    <w:rsid w:val="008224D6"/>
    <w:rsid w:val="00822E2C"/>
    <w:rsid w:val="00823946"/>
    <w:rsid w:val="00823A10"/>
    <w:rsid w:val="00824989"/>
    <w:rsid w:val="008262AB"/>
    <w:rsid w:val="00826BEC"/>
    <w:rsid w:val="00827582"/>
    <w:rsid w:val="00830E77"/>
    <w:rsid w:val="00830FBE"/>
    <w:rsid w:val="00831764"/>
    <w:rsid w:val="00831ABA"/>
    <w:rsid w:val="00831F99"/>
    <w:rsid w:val="008330CE"/>
    <w:rsid w:val="00835160"/>
    <w:rsid w:val="0083543C"/>
    <w:rsid w:val="008357F5"/>
    <w:rsid w:val="00835F7A"/>
    <w:rsid w:val="00836352"/>
    <w:rsid w:val="00840053"/>
    <w:rsid w:val="008401CA"/>
    <w:rsid w:val="00842725"/>
    <w:rsid w:val="00842845"/>
    <w:rsid w:val="00850B98"/>
    <w:rsid w:val="00852085"/>
    <w:rsid w:val="00852848"/>
    <w:rsid w:val="00852CED"/>
    <w:rsid w:val="00860957"/>
    <w:rsid w:val="00860A9C"/>
    <w:rsid w:val="00860E79"/>
    <w:rsid w:val="00861F56"/>
    <w:rsid w:val="008620FD"/>
    <w:rsid w:val="00862A0B"/>
    <w:rsid w:val="00864351"/>
    <w:rsid w:val="00864762"/>
    <w:rsid w:val="0086575F"/>
    <w:rsid w:val="00865C57"/>
    <w:rsid w:val="00866F22"/>
    <w:rsid w:val="008670B4"/>
    <w:rsid w:val="0086792B"/>
    <w:rsid w:val="00870105"/>
    <w:rsid w:val="008706A7"/>
    <w:rsid w:val="00870B73"/>
    <w:rsid w:val="00871C61"/>
    <w:rsid w:val="00872798"/>
    <w:rsid w:val="00872F2E"/>
    <w:rsid w:val="008730DE"/>
    <w:rsid w:val="00873B94"/>
    <w:rsid w:val="008740DF"/>
    <w:rsid w:val="008741B2"/>
    <w:rsid w:val="00874D2F"/>
    <w:rsid w:val="008752F6"/>
    <w:rsid w:val="0087576B"/>
    <w:rsid w:val="00875D34"/>
    <w:rsid w:val="008766A7"/>
    <w:rsid w:val="00876ECE"/>
    <w:rsid w:val="00880366"/>
    <w:rsid w:val="00880461"/>
    <w:rsid w:val="0088094E"/>
    <w:rsid w:val="00883B16"/>
    <w:rsid w:val="00883F74"/>
    <w:rsid w:val="00884BE1"/>
    <w:rsid w:val="00884C12"/>
    <w:rsid w:val="00885A6B"/>
    <w:rsid w:val="00891C19"/>
    <w:rsid w:val="00891C8C"/>
    <w:rsid w:val="008931E2"/>
    <w:rsid w:val="00894BA7"/>
    <w:rsid w:val="00894C0B"/>
    <w:rsid w:val="0089551F"/>
    <w:rsid w:val="00895D4A"/>
    <w:rsid w:val="00895DAC"/>
    <w:rsid w:val="008A0973"/>
    <w:rsid w:val="008A1034"/>
    <w:rsid w:val="008A288A"/>
    <w:rsid w:val="008A3F74"/>
    <w:rsid w:val="008A44F2"/>
    <w:rsid w:val="008A4652"/>
    <w:rsid w:val="008A5423"/>
    <w:rsid w:val="008A6240"/>
    <w:rsid w:val="008A63ED"/>
    <w:rsid w:val="008A6C08"/>
    <w:rsid w:val="008A6D4C"/>
    <w:rsid w:val="008A703B"/>
    <w:rsid w:val="008A7E07"/>
    <w:rsid w:val="008B05E6"/>
    <w:rsid w:val="008B2B2D"/>
    <w:rsid w:val="008B4069"/>
    <w:rsid w:val="008B5071"/>
    <w:rsid w:val="008B5649"/>
    <w:rsid w:val="008B7141"/>
    <w:rsid w:val="008C1B75"/>
    <w:rsid w:val="008C37A3"/>
    <w:rsid w:val="008C4674"/>
    <w:rsid w:val="008C4F66"/>
    <w:rsid w:val="008C525F"/>
    <w:rsid w:val="008C5A02"/>
    <w:rsid w:val="008C67D3"/>
    <w:rsid w:val="008C713A"/>
    <w:rsid w:val="008C7E37"/>
    <w:rsid w:val="008D06DB"/>
    <w:rsid w:val="008D090C"/>
    <w:rsid w:val="008D0FF9"/>
    <w:rsid w:val="008D1A0C"/>
    <w:rsid w:val="008D1DC3"/>
    <w:rsid w:val="008D232D"/>
    <w:rsid w:val="008D3CE8"/>
    <w:rsid w:val="008D42DA"/>
    <w:rsid w:val="008D4FEF"/>
    <w:rsid w:val="008D5C44"/>
    <w:rsid w:val="008D7867"/>
    <w:rsid w:val="008D7BF8"/>
    <w:rsid w:val="008E01BA"/>
    <w:rsid w:val="008E133C"/>
    <w:rsid w:val="008E27D3"/>
    <w:rsid w:val="008E36EA"/>
    <w:rsid w:val="008E3CEF"/>
    <w:rsid w:val="008E3D57"/>
    <w:rsid w:val="008E4E3C"/>
    <w:rsid w:val="008E5017"/>
    <w:rsid w:val="008E5087"/>
    <w:rsid w:val="008E6683"/>
    <w:rsid w:val="008E7296"/>
    <w:rsid w:val="008E730B"/>
    <w:rsid w:val="008E78DA"/>
    <w:rsid w:val="008E7ADC"/>
    <w:rsid w:val="008F0173"/>
    <w:rsid w:val="008F02C9"/>
    <w:rsid w:val="008F04C4"/>
    <w:rsid w:val="008F1135"/>
    <w:rsid w:val="008F30C8"/>
    <w:rsid w:val="008F340D"/>
    <w:rsid w:val="008F374A"/>
    <w:rsid w:val="008F3A33"/>
    <w:rsid w:val="008F4D25"/>
    <w:rsid w:val="008F5076"/>
    <w:rsid w:val="008F5363"/>
    <w:rsid w:val="008F55B0"/>
    <w:rsid w:val="008F6331"/>
    <w:rsid w:val="008F6679"/>
    <w:rsid w:val="008F760F"/>
    <w:rsid w:val="00900A18"/>
    <w:rsid w:val="00902564"/>
    <w:rsid w:val="00903443"/>
    <w:rsid w:val="00904FD8"/>
    <w:rsid w:val="009051C7"/>
    <w:rsid w:val="00905868"/>
    <w:rsid w:val="00905A6B"/>
    <w:rsid w:val="009068A0"/>
    <w:rsid w:val="00906A29"/>
    <w:rsid w:val="00906AFD"/>
    <w:rsid w:val="0090789A"/>
    <w:rsid w:val="0090795F"/>
    <w:rsid w:val="00910570"/>
    <w:rsid w:val="00911A5E"/>
    <w:rsid w:val="00911AD4"/>
    <w:rsid w:val="00911F2A"/>
    <w:rsid w:val="00911FEC"/>
    <w:rsid w:val="009125F1"/>
    <w:rsid w:val="00912BAA"/>
    <w:rsid w:val="00912F6D"/>
    <w:rsid w:val="00913726"/>
    <w:rsid w:val="0091379D"/>
    <w:rsid w:val="009137DE"/>
    <w:rsid w:val="00913F01"/>
    <w:rsid w:val="00915398"/>
    <w:rsid w:val="00915706"/>
    <w:rsid w:val="009157FC"/>
    <w:rsid w:val="00915811"/>
    <w:rsid w:val="00917464"/>
    <w:rsid w:val="009174C8"/>
    <w:rsid w:val="00921265"/>
    <w:rsid w:val="00922794"/>
    <w:rsid w:val="00922A10"/>
    <w:rsid w:val="00922FA1"/>
    <w:rsid w:val="00924D17"/>
    <w:rsid w:val="00925F3C"/>
    <w:rsid w:val="00926982"/>
    <w:rsid w:val="00926D67"/>
    <w:rsid w:val="0092770E"/>
    <w:rsid w:val="0092771B"/>
    <w:rsid w:val="009300BC"/>
    <w:rsid w:val="00930977"/>
    <w:rsid w:val="00931005"/>
    <w:rsid w:val="009314C3"/>
    <w:rsid w:val="009339AB"/>
    <w:rsid w:val="00933E4C"/>
    <w:rsid w:val="009352FC"/>
    <w:rsid w:val="00936175"/>
    <w:rsid w:val="009377F5"/>
    <w:rsid w:val="00940BD0"/>
    <w:rsid w:val="00942934"/>
    <w:rsid w:val="00942F2A"/>
    <w:rsid w:val="00944167"/>
    <w:rsid w:val="00944325"/>
    <w:rsid w:val="00945666"/>
    <w:rsid w:val="0094570B"/>
    <w:rsid w:val="00945D28"/>
    <w:rsid w:val="00945E35"/>
    <w:rsid w:val="009472CF"/>
    <w:rsid w:val="0094754A"/>
    <w:rsid w:val="00947734"/>
    <w:rsid w:val="00950501"/>
    <w:rsid w:val="0095050B"/>
    <w:rsid w:val="00950692"/>
    <w:rsid w:val="00950F3C"/>
    <w:rsid w:val="0095170B"/>
    <w:rsid w:val="00953BE2"/>
    <w:rsid w:val="00954BCE"/>
    <w:rsid w:val="00954CE8"/>
    <w:rsid w:val="00955502"/>
    <w:rsid w:val="00956985"/>
    <w:rsid w:val="009569EE"/>
    <w:rsid w:val="0095748B"/>
    <w:rsid w:val="009605C2"/>
    <w:rsid w:val="009606C2"/>
    <w:rsid w:val="0096114F"/>
    <w:rsid w:val="00961652"/>
    <w:rsid w:val="00962A9D"/>
    <w:rsid w:val="00966981"/>
    <w:rsid w:val="0096762B"/>
    <w:rsid w:val="00967E85"/>
    <w:rsid w:val="0097083C"/>
    <w:rsid w:val="00970C82"/>
    <w:rsid w:val="009726D9"/>
    <w:rsid w:val="0097373D"/>
    <w:rsid w:val="00973E86"/>
    <w:rsid w:val="0097495D"/>
    <w:rsid w:val="00975EB4"/>
    <w:rsid w:val="009765D2"/>
    <w:rsid w:val="00976C52"/>
    <w:rsid w:val="00980930"/>
    <w:rsid w:val="00980E81"/>
    <w:rsid w:val="00983ECF"/>
    <w:rsid w:val="00983F02"/>
    <w:rsid w:val="009845E9"/>
    <w:rsid w:val="00986050"/>
    <w:rsid w:val="009860F9"/>
    <w:rsid w:val="00986752"/>
    <w:rsid w:val="00986D46"/>
    <w:rsid w:val="00986D73"/>
    <w:rsid w:val="009871F2"/>
    <w:rsid w:val="0098759A"/>
    <w:rsid w:val="00990557"/>
    <w:rsid w:val="00990872"/>
    <w:rsid w:val="00990E26"/>
    <w:rsid w:val="0099178B"/>
    <w:rsid w:val="009925F4"/>
    <w:rsid w:val="00992BF2"/>
    <w:rsid w:val="0099399D"/>
    <w:rsid w:val="00993CD3"/>
    <w:rsid w:val="00994E2C"/>
    <w:rsid w:val="00995246"/>
    <w:rsid w:val="009956CB"/>
    <w:rsid w:val="0099790B"/>
    <w:rsid w:val="009A1F22"/>
    <w:rsid w:val="009A2181"/>
    <w:rsid w:val="009A3DAA"/>
    <w:rsid w:val="009A43DF"/>
    <w:rsid w:val="009A593A"/>
    <w:rsid w:val="009A5D21"/>
    <w:rsid w:val="009A75C2"/>
    <w:rsid w:val="009B016D"/>
    <w:rsid w:val="009B0A6B"/>
    <w:rsid w:val="009B1200"/>
    <w:rsid w:val="009B291C"/>
    <w:rsid w:val="009B2CC1"/>
    <w:rsid w:val="009B3D0D"/>
    <w:rsid w:val="009B42BA"/>
    <w:rsid w:val="009B59FB"/>
    <w:rsid w:val="009B736E"/>
    <w:rsid w:val="009B7BF0"/>
    <w:rsid w:val="009C0ABA"/>
    <w:rsid w:val="009C0FBE"/>
    <w:rsid w:val="009C1559"/>
    <w:rsid w:val="009C16CE"/>
    <w:rsid w:val="009C2048"/>
    <w:rsid w:val="009C3C05"/>
    <w:rsid w:val="009C45AE"/>
    <w:rsid w:val="009C4BD1"/>
    <w:rsid w:val="009C5586"/>
    <w:rsid w:val="009C5951"/>
    <w:rsid w:val="009C5B12"/>
    <w:rsid w:val="009C5D8E"/>
    <w:rsid w:val="009C6101"/>
    <w:rsid w:val="009C6860"/>
    <w:rsid w:val="009C6D99"/>
    <w:rsid w:val="009C72BE"/>
    <w:rsid w:val="009D12B5"/>
    <w:rsid w:val="009D13CB"/>
    <w:rsid w:val="009D2948"/>
    <w:rsid w:val="009D2C80"/>
    <w:rsid w:val="009D3039"/>
    <w:rsid w:val="009D3E2E"/>
    <w:rsid w:val="009D5EA5"/>
    <w:rsid w:val="009D679E"/>
    <w:rsid w:val="009D68B0"/>
    <w:rsid w:val="009D749D"/>
    <w:rsid w:val="009E2743"/>
    <w:rsid w:val="009E28D5"/>
    <w:rsid w:val="009E33A9"/>
    <w:rsid w:val="009E4AB0"/>
    <w:rsid w:val="009E5147"/>
    <w:rsid w:val="009E5CEE"/>
    <w:rsid w:val="009E79AF"/>
    <w:rsid w:val="009F164C"/>
    <w:rsid w:val="009F449F"/>
    <w:rsid w:val="009F472C"/>
    <w:rsid w:val="009F49DD"/>
    <w:rsid w:val="009F4A30"/>
    <w:rsid w:val="009F4CC6"/>
    <w:rsid w:val="009F4ECF"/>
    <w:rsid w:val="009F5533"/>
    <w:rsid w:val="009F56E0"/>
    <w:rsid w:val="009F5C05"/>
    <w:rsid w:val="009F6968"/>
    <w:rsid w:val="009F6B5C"/>
    <w:rsid w:val="009F6D96"/>
    <w:rsid w:val="009F7412"/>
    <w:rsid w:val="009F7AC8"/>
    <w:rsid w:val="00A00653"/>
    <w:rsid w:val="00A00EC4"/>
    <w:rsid w:val="00A01F08"/>
    <w:rsid w:val="00A0328E"/>
    <w:rsid w:val="00A03310"/>
    <w:rsid w:val="00A0473F"/>
    <w:rsid w:val="00A0578E"/>
    <w:rsid w:val="00A05CCB"/>
    <w:rsid w:val="00A05DFA"/>
    <w:rsid w:val="00A06244"/>
    <w:rsid w:val="00A071DB"/>
    <w:rsid w:val="00A07952"/>
    <w:rsid w:val="00A07B10"/>
    <w:rsid w:val="00A10C39"/>
    <w:rsid w:val="00A1158D"/>
    <w:rsid w:val="00A11EC8"/>
    <w:rsid w:val="00A13513"/>
    <w:rsid w:val="00A14FC4"/>
    <w:rsid w:val="00A15C66"/>
    <w:rsid w:val="00A16A25"/>
    <w:rsid w:val="00A20BC0"/>
    <w:rsid w:val="00A211B8"/>
    <w:rsid w:val="00A216C1"/>
    <w:rsid w:val="00A22C34"/>
    <w:rsid w:val="00A235A2"/>
    <w:rsid w:val="00A23D4A"/>
    <w:rsid w:val="00A240DD"/>
    <w:rsid w:val="00A24CBA"/>
    <w:rsid w:val="00A24F86"/>
    <w:rsid w:val="00A25A9B"/>
    <w:rsid w:val="00A26AA3"/>
    <w:rsid w:val="00A26F50"/>
    <w:rsid w:val="00A27006"/>
    <w:rsid w:val="00A270AB"/>
    <w:rsid w:val="00A27B31"/>
    <w:rsid w:val="00A302C2"/>
    <w:rsid w:val="00A3035B"/>
    <w:rsid w:val="00A304E9"/>
    <w:rsid w:val="00A309D8"/>
    <w:rsid w:val="00A31391"/>
    <w:rsid w:val="00A31E8C"/>
    <w:rsid w:val="00A324FC"/>
    <w:rsid w:val="00A32B17"/>
    <w:rsid w:val="00A337A2"/>
    <w:rsid w:val="00A3630E"/>
    <w:rsid w:val="00A363F6"/>
    <w:rsid w:val="00A40680"/>
    <w:rsid w:val="00A40ACF"/>
    <w:rsid w:val="00A4116D"/>
    <w:rsid w:val="00A44EBF"/>
    <w:rsid w:val="00A468D3"/>
    <w:rsid w:val="00A46FC0"/>
    <w:rsid w:val="00A47407"/>
    <w:rsid w:val="00A4794A"/>
    <w:rsid w:val="00A47C63"/>
    <w:rsid w:val="00A52778"/>
    <w:rsid w:val="00A52DA1"/>
    <w:rsid w:val="00A53065"/>
    <w:rsid w:val="00A536CB"/>
    <w:rsid w:val="00A536CF"/>
    <w:rsid w:val="00A53DAD"/>
    <w:rsid w:val="00A53EA8"/>
    <w:rsid w:val="00A546A0"/>
    <w:rsid w:val="00A54912"/>
    <w:rsid w:val="00A5558A"/>
    <w:rsid w:val="00A56DAB"/>
    <w:rsid w:val="00A57449"/>
    <w:rsid w:val="00A60F95"/>
    <w:rsid w:val="00A61A32"/>
    <w:rsid w:val="00A65BAE"/>
    <w:rsid w:val="00A661D3"/>
    <w:rsid w:val="00A6761B"/>
    <w:rsid w:val="00A6795B"/>
    <w:rsid w:val="00A70D77"/>
    <w:rsid w:val="00A70D7E"/>
    <w:rsid w:val="00A73152"/>
    <w:rsid w:val="00A738A6"/>
    <w:rsid w:val="00A7463E"/>
    <w:rsid w:val="00A748DE"/>
    <w:rsid w:val="00A75A3F"/>
    <w:rsid w:val="00A76C2A"/>
    <w:rsid w:val="00A7705B"/>
    <w:rsid w:val="00A770DA"/>
    <w:rsid w:val="00A80B86"/>
    <w:rsid w:val="00A80E2E"/>
    <w:rsid w:val="00A80FD4"/>
    <w:rsid w:val="00A8216D"/>
    <w:rsid w:val="00A824B6"/>
    <w:rsid w:val="00A82A8B"/>
    <w:rsid w:val="00A83104"/>
    <w:rsid w:val="00A855CC"/>
    <w:rsid w:val="00A860AE"/>
    <w:rsid w:val="00A862E7"/>
    <w:rsid w:val="00A86979"/>
    <w:rsid w:val="00A874EF"/>
    <w:rsid w:val="00A9019B"/>
    <w:rsid w:val="00A90DAE"/>
    <w:rsid w:val="00A90DF8"/>
    <w:rsid w:val="00A910AE"/>
    <w:rsid w:val="00A9194B"/>
    <w:rsid w:val="00A9311E"/>
    <w:rsid w:val="00A93549"/>
    <w:rsid w:val="00A94717"/>
    <w:rsid w:val="00A9695A"/>
    <w:rsid w:val="00A969D8"/>
    <w:rsid w:val="00A96B74"/>
    <w:rsid w:val="00AA0F3B"/>
    <w:rsid w:val="00AA1036"/>
    <w:rsid w:val="00AA1456"/>
    <w:rsid w:val="00AA24B9"/>
    <w:rsid w:val="00AA2FB3"/>
    <w:rsid w:val="00AA2FD1"/>
    <w:rsid w:val="00AA4227"/>
    <w:rsid w:val="00AA46B0"/>
    <w:rsid w:val="00AA4885"/>
    <w:rsid w:val="00AA4A6A"/>
    <w:rsid w:val="00AA51C8"/>
    <w:rsid w:val="00AA65AB"/>
    <w:rsid w:val="00AA699E"/>
    <w:rsid w:val="00AA7270"/>
    <w:rsid w:val="00AB0CEA"/>
    <w:rsid w:val="00AB0D2E"/>
    <w:rsid w:val="00AB18DE"/>
    <w:rsid w:val="00AB71CD"/>
    <w:rsid w:val="00AB7AE7"/>
    <w:rsid w:val="00AC0FC5"/>
    <w:rsid w:val="00AC1575"/>
    <w:rsid w:val="00AC195A"/>
    <w:rsid w:val="00AC2CFD"/>
    <w:rsid w:val="00AC3840"/>
    <w:rsid w:val="00AC420F"/>
    <w:rsid w:val="00AC4F2B"/>
    <w:rsid w:val="00AC56F6"/>
    <w:rsid w:val="00AC6416"/>
    <w:rsid w:val="00AC6B63"/>
    <w:rsid w:val="00AD2ADE"/>
    <w:rsid w:val="00AD2E2A"/>
    <w:rsid w:val="00AD324F"/>
    <w:rsid w:val="00AD34B2"/>
    <w:rsid w:val="00AD35C6"/>
    <w:rsid w:val="00AD376A"/>
    <w:rsid w:val="00AD3E11"/>
    <w:rsid w:val="00AD49A6"/>
    <w:rsid w:val="00AD5EA6"/>
    <w:rsid w:val="00AD6BB1"/>
    <w:rsid w:val="00AD6E44"/>
    <w:rsid w:val="00AD726A"/>
    <w:rsid w:val="00AD751C"/>
    <w:rsid w:val="00AD7DCB"/>
    <w:rsid w:val="00AD7DEC"/>
    <w:rsid w:val="00AE0536"/>
    <w:rsid w:val="00AE17EF"/>
    <w:rsid w:val="00AE194B"/>
    <w:rsid w:val="00AE1B4E"/>
    <w:rsid w:val="00AE1D13"/>
    <w:rsid w:val="00AE26ED"/>
    <w:rsid w:val="00AE36BF"/>
    <w:rsid w:val="00AE3964"/>
    <w:rsid w:val="00AE4326"/>
    <w:rsid w:val="00AE48E5"/>
    <w:rsid w:val="00AE4968"/>
    <w:rsid w:val="00AE523D"/>
    <w:rsid w:val="00AE5BA5"/>
    <w:rsid w:val="00AE6096"/>
    <w:rsid w:val="00AE651B"/>
    <w:rsid w:val="00AE6862"/>
    <w:rsid w:val="00AE6FE0"/>
    <w:rsid w:val="00AE7118"/>
    <w:rsid w:val="00AE7543"/>
    <w:rsid w:val="00AE7D4E"/>
    <w:rsid w:val="00AF1BB5"/>
    <w:rsid w:val="00AF2DA6"/>
    <w:rsid w:val="00AF325A"/>
    <w:rsid w:val="00AF34FD"/>
    <w:rsid w:val="00AF4107"/>
    <w:rsid w:val="00AF5B23"/>
    <w:rsid w:val="00AF6232"/>
    <w:rsid w:val="00AF7C49"/>
    <w:rsid w:val="00AF7DB4"/>
    <w:rsid w:val="00B001E2"/>
    <w:rsid w:val="00B002A2"/>
    <w:rsid w:val="00B004F2"/>
    <w:rsid w:val="00B00B3F"/>
    <w:rsid w:val="00B00FC0"/>
    <w:rsid w:val="00B01589"/>
    <w:rsid w:val="00B02F10"/>
    <w:rsid w:val="00B032B4"/>
    <w:rsid w:val="00B038B0"/>
    <w:rsid w:val="00B039DD"/>
    <w:rsid w:val="00B03C25"/>
    <w:rsid w:val="00B04529"/>
    <w:rsid w:val="00B0572E"/>
    <w:rsid w:val="00B05EFF"/>
    <w:rsid w:val="00B076A8"/>
    <w:rsid w:val="00B12C68"/>
    <w:rsid w:val="00B12D43"/>
    <w:rsid w:val="00B13AEB"/>
    <w:rsid w:val="00B1450E"/>
    <w:rsid w:val="00B14FBA"/>
    <w:rsid w:val="00B15D7F"/>
    <w:rsid w:val="00B16048"/>
    <w:rsid w:val="00B161D9"/>
    <w:rsid w:val="00B16208"/>
    <w:rsid w:val="00B16A0A"/>
    <w:rsid w:val="00B178B5"/>
    <w:rsid w:val="00B17BA2"/>
    <w:rsid w:val="00B17D27"/>
    <w:rsid w:val="00B17E3A"/>
    <w:rsid w:val="00B20112"/>
    <w:rsid w:val="00B2102D"/>
    <w:rsid w:val="00B21654"/>
    <w:rsid w:val="00B223B9"/>
    <w:rsid w:val="00B2404A"/>
    <w:rsid w:val="00B25255"/>
    <w:rsid w:val="00B25EE7"/>
    <w:rsid w:val="00B261ED"/>
    <w:rsid w:val="00B26AA2"/>
    <w:rsid w:val="00B272B9"/>
    <w:rsid w:val="00B275A7"/>
    <w:rsid w:val="00B279EB"/>
    <w:rsid w:val="00B27C5B"/>
    <w:rsid w:val="00B27C83"/>
    <w:rsid w:val="00B30272"/>
    <w:rsid w:val="00B320E5"/>
    <w:rsid w:val="00B3313F"/>
    <w:rsid w:val="00B33825"/>
    <w:rsid w:val="00B3449B"/>
    <w:rsid w:val="00B34B51"/>
    <w:rsid w:val="00B351B0"/>
    <w:rsid w:val="00B359B5"/>
    <w:rsid w:val="00B35C64"/>
    <w:rsid w:val="00B36755"/>
    <w:rsid w:val="00B418C6"/>
    <w:rsid w:val="00B41E19"/>
    <w:rsid w:val="00B4212B"/>
    <w:rsid w:val="00B42979"/>
    <w:rsid w:val="00B43494"/>
    <w:rsid w:val="00B44308"/>
    <w:rsid w:val="00B4469C"/>
    <w:rsid w:val="00B45080"/>
    <w:rsid w:val="00B45420"/>
    <w:rsid w:val="00B45E72"/>
    <w:rsid w:val="00B466C6"/>
    <w:rsid w:val="00B4695B"/>
    <w:rsid w:val="00B50762"/>
    <w:rsid w:val="00B508E0"/>
    <w:rsid w:val="00B51094"/>
    <w:rsid w:val="00B516CE"/>
    <w:rsid w:val="00B5198C"/>
    <w:rsid w:val="00B51C92"/>
    <w:rsid w:val="00B51F49"/>
    <w:rsid w:val="00B5231A"/>
    <w:rsid w:val="00B53586"/>
    <w:rsid w:val="00B5432F"/>
    <w:rsid w:val="00B54930"/>
    <w:rsid w:val="00B54B19"/>
    <w:rsid w:val="00B54C1A"/>
    <w:rsid w:val="00B5500F"/>
    <w:rsid w:val="00B5532B"/>
    <w:rsid w:val="00B565AB"/>
    <w:rsid w:val="00B5670A"/>
    <w:rsid w:val="00B57BCD"/>
    <w:rsid w:val="00B6046E"/>
    <w:rsid w:val="00B604BB"/>
    <w:rsid w:val="00B613D4"/>
    <w:rsid w:val="00B61A10"/>
    <w:rsid w:val="00B63F80"/>
    <w:rsid w:val="00B64102"/>
    <w:rsid w:val="00B64DE5"/>
    <w:rsid w:val="00B65041"/>
    <w:rsid w:val="00B6508F"/>
    <w:rsid w:val="00B65F9A"/>
    <w:rsid w:val="00B6603B"/>
    <w:rsid w:val="00B6634D"/>
    <w:rsid w:val="00B663B1"/>
    <w:rsid w:val="00B67D5C"/>
    <w:rsid w:val="00B703CA"/>
    <w:rsid w:val="00B7059B"/>
    <w:rsid w:val="00B70D3E"/>
    <w:rsid w:val="00B710CB"/>
    <w:rsid w:val="00B719B0"/>
    <w:rsid w:val="00B71A2E"/>
    <w:rsid w:val="00B7393D"/>
    <w:rsid w:val="00B7469D"/>
    <w:rsid w:val="00B74901"/>
    <w:rsid w:val="00B74D7A"/>
    <w:rsid w:val="00B75D31"/>
    <w:rsid w:val="00B75FC6"/>
    <w:rsid w:val="00B77821"/>
    <w:rsid w:val="00B77958"/>
    <w:rsid w:val="00B77E56"/>
    <w:rsid w:val="00B8087D"/>
    <w:rsid w:val="00B80C42"/>
    <w:rsid w:val="00B81072"/>
    <w:rsid w:val="00B81423"/>
    <w:rsid w:val="00B81761"/>
    <w:rsid w:val="00B825C7"/>
    <w:rsid w:val="00B826DF"/>
    <w:rsid w:val="00B82978"/>
    <w:rsid w:val="00B829DB"/>
    <w:rsid w:val="00B82FFE"/>
    <w:rsid w:val="00B835A2"/>
    <w:rsid w:val="00B83DCF"/>
    <w:rsid w:val="00B848CE"/>
    <w:rsid w:val="00B862CF"/>
    <w:rsid w:val="00B8633D"/>
    <w:rsid w:val="00B86572"/>
    <w:rsid w:val="00B866CB"/>
    <w:rsid w:val="00B8672E"/>
    <w:rsid w:val="00B86A03"/>
    <w:rsid w:val="00B86DAA"/>
    <w:rsid w:val="00B87159"/>
    <w:rsid w:val="00B8762C"/>
    <w:rsid w:val="00B87784"/>
    <w:rsid w:val="00B87C3D"/>
    <w:rsid w:val="00B92CBA"/>
    <w:rsid w:val="00B93345"/>
    <w:rsid w:val="00B93505"/>
    <w:rsid w:val="00B9481B"/>
    <w:rsid w:val="00B95B06"/>
    <w:rsid w:val="00BA03A4"/>
    <w:rsid w:val="00BA0ED3"/>
    <w:rsid w:val="00BA11D2"/>
    <w:rsid w:val="00BA1364"/>
    <w:rsid w:val="00BA18A4"/>
    <w:rsid w:val="00BA2203"/>
    <w:rsid w:val="00BA22F9"/>
    <w:rsid w:val="00BA40A2"/>
    <w:rsid w:val="00BA40DD"/>
    <w:rsid w:val="00BA4C18"/>
    <w:rsid w:val="00BA4CB2"/>
    <w:rsid w:val="00BA5DDD"/>
    <w:rsid w:val="00BA69B9"/>
    <w:rsid w:val="00BA7CA1"/>
    <w:rsid w:val="00BB082C"/>
    <w:rsid w:val="00BB0B48"/>
    <w:rsid w:val="00BB1187"/>
    <w:rsid w:val="00BB1B68"/>
    <w:rsid w:val="00BB1DDC"/>
    <w:rsid w:val="00BB2192"/>
    <w:rsid w:val="00BB21B3"/>
    <w:rsid w:val="00BB2230"/>
    <w:rsid w:val="00BB3DC8"/>
    <w:rsid w:val="00BB5144"/>
    <w:rsid w:val="00BB6821"/>
    <w:rsid w:val="00BB706D"/>
    <w:rsid w:val="00BB73A5"/>
    <w:rsid w:val="00BB7787"/>
    <w:rsid w:val="00BB7AAC"/>
    <w:rsid w:val="00BC0F39"/>
    <w:rsid w:val="00BC2333"/>
    <w:rsid w:val="00BC24B5"/>
    <w:rsid w:val="00BC2849"/>
    <w:rsid w:val="00BC2EFA"/>
    <w:rsid w:val="00BC341B"/>
    <w:rsid w:val="00BC39E1"/>
    <w:rsid w:val="00BC601F"/>
    <w:rsid w:val="00BC6040"/>
    <w:rsid w:val="00BC67CE"/>
    <w:rsid w:val="00BC6C7A"/>
    <w:rsid w:val="00BC7164"/>
    <w:rsid w:val="00BD0443"/>
    <w:rsid w:val="00BD1576"/>
    <w:rsid w:val="00BD2246"/>
    <w:rsid w:val="00BD2582"/>
    <w:rsid w:val="00BD27E1"/>
    <w:rsid w:val="00BD3497"/>
    <w:rsid w:val="00BD3B77"/>
    <w:rsid w:val="00BD43DA"/>
    <w:rsid w:val="00BD46A2"/>
    <w:rsid w:val="00BD4B88"/>
    <w:rsid w:val="00BD4BE5"/>
    <w:rsid w:val="00BD4DC1"/>
    <w:rsid w:val="00BD4FDF"/>
    <w:rsid w:val="00BD5C5B"/>
    <w:rsid w:val="00BD73B3"/>
    <w:rsid w:val="00BE0148"/>
    <w:rsid w:val="00BE0F16"/>
    <w:rsid w:val="00BE12C4"/>
    <w:rsid w:val="00BE1AB6"/>
    <w:rsid w:val="00BE2976"/>
    <w:rsid w:val="00BE302B"/>
    <w:rsid w:val="00BE34AE"/>
    <w:rsid w:val="00BE3A4A"/>
    <w:rsid w:val="00BE3FB8"/>
    <w:rsid w:val="00BE739E"/>
    <w:rsid w:val="00BE74FD"/>
    <w:rsid w:val="00BE76A6"/>
    <w:rsid w:val="00BE7C17"/>
    <w:rsid w:val="00BE7F50"/>
    <w:rsid w:val="00BF01C1"/>
    <w:rsid w:val="00BF0C33"/>
    <w:rsid w:val="00BF4744"/>
    <w:rsid w:val="00BF55A9"/>
    <w:rsid w:val="00BF58E8"/>
    <w:rsid w:val="00BF64EB"/>
    <w:rsid w:val="00BF77B0"/>
    <w:rsid w:val="00C011A9"/>
    <w:rsid w:val="00C0173A"/>
    <w:rsid w:val="00C01B20"/>
    <w:rsid w:val="00C01B46"/>
    <w:rsid w:val="00C01C41"/>
    <w:rsid w:val="00C02CC0"/>
    <w:rsid w:val="00C03A25"/>
    <w:rsid w:val="00C050C7"/>
    <w:rsid w:val="00C0544E"/>
    <w:rsid w:val="00C06823"/>
    <w:rsid w:val="00C068C4"/>
    <w:rsid w:val="00C0719B"/>
    <w:rsid w:val="00C10F18"/>
    <w:rsid w:val="00C1168C"/>
    <w:rsid w:val="00C11B37"/>
    <w:rsid w:val="00C13037"/>
    <w:rsid w:val="00C148AB"/>
    <w:rsid w:val="00C14D86"/>
    <w:rsid w:val="00C14DC0"/>
    <w:rsid w:val="00C156C3"/>
    <w:rsid w:val="00C16BFE"/>
    <w:rsid w:val="00C17581"/>
    <w:rsid w:val="00C17710"/>
    <w:rsid w:val="00C20107"/>
    <w:rsid w:val="00C205A4"/>
    <w:rsid w:val="00C22E95"/>
    <w:rsid w:val="00C238C3"/>
    <w:rsid w:val="00C24EDC"/>
    <w:rsid w:val="00C24FFD"/>
    <w:rsid w:val="00C25C44"/>
    <w:rsid w:val="00C26DF1"/>
    <w:rsid w:val="00C270F7"/>
    <w:rsid w:val="00C30A11"/>
    <w:rsid w:val="00C311AE"/>
    <w:rsid w:val="00C341A6"/>
    <w:rsid w:val="00C34ED2"/>
    <w:rsid w:val="00C35B8F"/>
    <w:rsid w:val="00C3664E"/>
    <w:rsid w:val="00C36EF5"/>
    <w:rsid w:val="00C37BC2"/>
    <w:rsid w:val="00C37FFA"/>
    <w:rsid w:val="00C409EF"/>
    <w:rsid w:val="00C411FD"/>
    <w:rsid w:val="00C416B5"/>
    <w:rsid w:val="00C42BF8"/>
    <w:rsid w:val="00C42EF7"/>
    <w:rsid w:val="00C42F31"/>
    <w:rsid w:val="00C430F6"/>
    <w:rsid w:val="00C453F3"/>
    <w:rsid w:val="00C45914"/>
    <w:rsid w:val="00C4610C"/>
    <w:rsid w:val="00C46ACD"/>
    <w:rsid w:val="00C46E62"/>
    <w:rsid w:val="00C4735E"/>
    <w:rsid w:val="00C50308"/>
    <w:rsid w:val="00C50576"/>
    <w:rsid w:val="00C505BC"/>
    <w:rsid w:val="00C50A19"/>
    <w:rsid w:val="00C50ADB"/>
    <w:rsid w:val="00C511A3"/>
    <w:rsid w:val="00C516CC"/>
    <w:rsid w:val="00C5227D"/>
    <w:rsid w:val="00C528CF"/>
    <w:rsid w:val="00C549D4"/>
    <w:rsid w:val="00C55015"/>
    <w:rsid w:val="00C550CD"/>
    <w:rsid w:val="00C55C0D"/>
    <w:rsid w:val="00C56DA8"/>
    <w:rsid w:val="00C60494"/>
    <w:rsid w:val="00C628FE"/>
    <w:rsid w:val="00C62DBB"/>
    <w:rsid w:val="00C63C93"/>
    <w:rsid w:val="00C642FC"/>
    <w:rsid w:val="00C648BD"/>
    <w:rsid w:val="00C64C8B"/>
    <w:rsid w:val="00C655EA"/>
    <w:rsid w:val="00C65B63"/>
    <w:rsid w:val="00C66D56"/>
    <w:rsid w:val="00C67097"/>
    <w:rsid w:val="00C67695"/>
    <w:rsid w:val="00C678B7"/>
    <w:rsid w:val="00C67E27"/>
    <w:rsid w:val="00C67FDB"/>
    <w:rsid w:val="00C71B20"/>
    <w:rsid w:val="00C71CD4"/>
    <w:rsid w:val="00C72476"/>
    <w:rsid w:val="00C72E96"/>
    <w:rsid w:val="00C73825"/>
    <w:rsid w:val="00C73878"/>
    <w:rsid w:val="00C73B3D"/>
    <w:rsid w:val="00C73F35"/>
    <w:rsid w:val="00C747F1"/>
    <w:rsid w:val="00C74836"/>
    <w:rsid w:val="00C748CC"/>
    <w:rsid w:val="00C74CCE"/>
    <w:rsid w:val="00C74DCA"/>
    <w:rsid w:val="00C753E5"/>
    <w:rsid w:val="00C75BB5"/>
    <w:rsid w:val="00C75F07"/>
    <w:rsid w:val="00C763AF"/>
    <w:rsid w:val="00C77402"/>
    <w:rsid w:val="00C77938"/>
    <w:rsid w:val="00C77D28"/>
    <w:rsid w:val="00C80158"/>
    <w:rsid w:val="00C80192"/>
    <w:rsid w:val="00C80556"/>
    <w:rsid w:val="00C80F3D"/>
    <w:rsid w:val="00C81E9F"/>
    <w:rsid w:val="00C821BB"/>
    <w:rsid w:val="00C82880"/>
    <w:rsid w:val="00C829E9"/>
    <w:rsid w:val="00C83D2E"/>
    <w:rsid w:val="00C84596"/>
    <w:rsid w:val="00C84A7C"/>
    <w:rsid w:val="00C85082"/>
    <w:rsid w:val="00C854F7"/>
    <w:rsid w:val="00C859EF"/>
    <w:rsid w:val="00C85B69"/>
    <w:rsid w:val="00C8638D"/>
    <w:rsid w:val="00C86478"/>
    <w:rsid w:val="00C87372"/>
    <w:rsid w:val="00C87FB6"/>
    <w:rsid w:val="00C9045F"/>
    <w:rsid w:val="00C90D7F"/>
    <w:rsid w:val="00C91B5A"/>
    <w:rsid w:val="00C92830"/>
    <w:rsid w:val="00C93469"/>
    <w:rsid w:val="00C949D7"/>
    <w:rsid w:val="00C94E00"/>
    <w:rsid w:val="00C95EAA"/>
    <w:rsid w:val="00C96056"/>
    <w:rsid w:val="00C96596"/>
    <w:rsid w:val="00C966AA"/>
    <w:rsid w:val="00C96E02"/>
    <w:rsid w:val="00C976A8"/>
    <w:rsid w:val="00C97FE2"/>
    <w:rsid w:val="00CA0332"/>
    <w:rsid w:val="00CA0420"/>
    <w:rsid w:val="00CA1185"/>
    <w:rsid w:val="00CA1BAB"/>
    <w:rsid w:val="00CA2132"/>
    <w:rsid w:val="00CA2747"/>
    <w:rsid w:val="00CA2A0A"/>
    <w:rsid w:val="00CA2B24"/>
    <w:rsid w:val="00CA2B80"/>
    <w:rsid w:val="00CA2D2A"/>
    <w:rsid w:val="00CA2DA2"/>
    <w:rsid w:val="00CA3251"/>
    <w:rsid w:val="00CA3679"/>
    <w:rsid w:val="00CA399C"/>
    <w:rsid w:val="00CA3B87"/>
    <w:rsid w:val="00CA472C"/>
    <w:rsid w:val="00CA47A9"/>
    <w:rsid w:val="00CA50D4"/>
    <w:rsid w:val="00CA57D7"/>
    <w:rsid w:val="00CA5BEE"/>
    <w:rsid w:val="00CA5F97"/>
    <w:rsid w:val="00CA63C4"/>
    <w:rsid w:val="00CA7438"/>
    <w:rsid w:val="00CA7668"/>
    <w:rsid w:val="00CA7792"/>
    <w:rsid w:val="00CA7E74"/>
    <w:rsid w:val="00CB011D"/>
    <w:rsid w:val="00CB1A91"/>
    <w:rsid w:val="00CB1E7C"/>
    <w:rsid w:val="00CB2683"/>
    <w:rsid w:val="00CB2804"/>
    <w:rsid w:val="00CB2DB6"/>
    <w:rsid w:val="00CB3907"/>
    <w:rsid w:val="00CB3A71"/>
    <w:rsid w:val="00CB4ABA"/>
    <w:rsid w:val="00CB4B29"/>
    <w:rsid w:val="00CB6A99"/>
    <w:rsid w:val="00CB6BB3"/>
    <w:rsid w:val="00CC0011"/>
    <w:rsid w:val="00CC1238"/>
    <w:rsid w:val="00CC1D34"/>
    <w:rsid w:val="00CC2D60"/>
    <w:rsid w:val="00CC5C0A"/>
    <w:rsid w:val="00CC5D95"/>
    <w:rsid w:val="00CC61F7"/>
    <w:rsid w:val="00CC6281"/>
    <w:rsid w:val="00CC73B1"/>
    <w:rsid w:val="00CC7803"/>
    <w:rsid w:val="00CC7A78"/>
    <w:rsid w:val="00CD00B0"/>
    <w:rsid w:val="00CD05C6"/>
    <w:rsid w:val="00CD097D"/>
    <w:rsid w:val="00CD0A2B"/>
    <w:rsid w:val="00CD0F12"/>
    <w:rsid w:val="00CD1281"/>
    <w:rsid w:val="00CD137F"/>
    <w:rsid w:val="00CD35F1"/>
    <w:rsid w:val="00CD3F25"/>
    <w:rsid w:val="00CD45CE"/>
    <w:rsid w:val="00CD4DF7"/>
    <w:rsid w:val="00CD4E74"/>
    <w:rsid w:val="00CD5326"/>
    <w:rsid w:val="00CD54E4"/>
    <w:rsid w:val="00CD55B3"/>
    <w:rsid w:val="00CD5B47"/>
    <w:rsid w:val="00CD5DC2"/>
    <w:rsid w:val="00CD5FDC"/>
    <w:rsid w:val="00CD61D3"/>
    <w:rsid w:val="00CD7503"/>
    <w:rsid w:val="00CE0934"/>
    <w:rsid w:val="00CE0F36"/>
    <w:rsid w:val="00CE131A"/>
    <w:rsid w:val="00CE2651"/>
    <w:rsid w:val="00CE363E"/>
    <w:rsid w:val="00CE36EF"/>
    <w:rsid w:val="00CE506E"/>
    <w:rsid w:val="00CE53CE"/>
    <w:rsid w:val="00CE57A0"/>
    <w:rsid w:val="00CE5F28"/>
    <w:rsid w:val="00CE621B"/>
    <w:rsid w:val="00CE6DE2"/>
    <w:rsid w:val="00CF03F8"/>
    <w:rsid w:val="00CF081A"/>
    <w:rsid w:val="00CF0B41"/>
    <w:rsid w:val="00CF0C9B"/>
    <w:rsid w:val="00CF1538"/>
    <w:rsid w:val="00CF1D42"/>
    <w:rsid w:val="00CF1DC5"/>
    <w:rsid w:val="00CF3D9D"/>
    <w:rsid w:val="00CF3FF8"/>
    <w:rsid w:val="00CF4552"/>
    <w:rsid w:val="00CF4A99"/>
    <w:rsid w:val="00CF78FD"/>
    <w:rsid w:val="00D00B59"/>
    <w:rsid w:val="00D010A7"/>
    <w:rsid w:val="00D0255B"/>
    <w:rsid w:val="00D026D3"/>
    <w:rsid w:val="00D031A4"/>
    <w:rsid w:val="00D03F63"/>
    <w:rsid w:val="00D04608"/>
    <w:rsid w:val="00D05C57"/>
    <w:rsid w:val="00D05F3D"/>
    <w:rsid w:val="00D060D1"/>
    <w:rsid w:val="00D061AE"/>
    <w:rsid w:val="00D06849"/>
    <w:rsid w:val="00D06A2D"/>
    <w:rsid w:val="00D06D2D"/>
    <w:rsid w:val="00D07FD8"/>
    <w:rsid w:val="00D102DD"/>
    <w:rsid w:val="00D10354"/>
    <w:rsid w:val="00D1085D"/>
    <w:rsid w:val="00D1101F"/>
    <w:rsid w:val="00D11ACF"/>
    <w:rsid w:val="00D11E06"/>
    <w:rsid w:val="00D11F7E"/>
    <w:rsid w:val="00D122EB"/>
    <w:rsid w:val="00D12679"/>
    <w:rsid w:val="00D12810"/>
    <w:rsid w:val="00D13849"/>
    <w:rsid w:val="00D13BDD"/>
    <w:rsid w:val="00D13DDC"/>
    <w:rsid w:val="00D1441C"/>
    <w:rsid w:val="00D14812"/>
    <w:rsid w:val="00D14BAD"/>
    <w:rsid w:val="00D15317"/>
    <w:rsid w:val="00D16DB8"/>
    <w:rsid w:val="00D17458"/>
    <w:rsid w:val="00D17E96"/>
    <w:rsid w:val="00D20264"/>
    <w:rsid w:val="00D20361"/>
    <w:rsid w:val="00D20573"/>
    <w:rsid w:val="00D20C56"/>
    <w:rsid w:val="00D221B5"/>
    <w:rsid w:val="00D22399"/>
    <w:rsid w:val="00D2265A"/>
    <w:rsid w:val="00D23838"/>
    <w:rsid w:val="00D23F25"/>
    <w:rsid w:val="00D24CB8"/>
    <w:rsid w:val="00D25B92"/>
    <w:rsid w:val="00D26F01"/>
    <w:rsid w:val="00D27625"/>
    <w:rsid w:val="00D27897"/>
    <w:rsid w:val="00D27A9E"/>
    <w:rsid w:val="00D27CC5"/>
    <w:rsid w:val="00D3001F"/>
    <w:rsid w:val="00D30391"/>
    <w:rsid w:val="00D322DA"/>
    <w:rsid w:val="00D3236B"/>
    <w:rsid w:val="00D33130"/>
    <w:rsid w:val="00D3332C"/>
    <w:rsid w:val="00D333AF"/>
    <w:rsid w:val="00D33751"/>
    <w:rsid w:val="00D33907"/>
    <w:rsid w:val="00D34330"/>
    <w:rsid w:val="00D349D7"/>
    <w:rsid w:val="00D34A35"/>
    <w:rsid w:val="00D352F4"/>
    <w:rsid w:val="00D3578A"/>
    <w:rsid w:val="00D3589E"/>
    <w:rsid w:val="00D35A59"/>
    <w:rsid w:val="00D35BB9"/>
    <w:rsid w:val="00D36256"/>
    <w:rsid w:val="00D36634"/>
    <w:rsid w:val="00D372BB"/>
    <w:rsid w:val="00D374C7"/>
    <w:rsid w:val="00D37E9A"/>
    <w:rsid w:val="00D401BC"/>
    <w:rsid w:val="00D40517"/>
    <w:rsid w:val="00D40C23"/>
    <w:rsid w:val="00D421DE"/>
    <w:rsid w:val="00D42731"/>
    <w:rsid w:val="00D43242"/>
    <w:rsid w:val="00D433A8"/>
    <w:rsid w:val="00D4371D"/>
    <w:rsid w:val="00D43A1F"/>
    <w:rsid w:val="00D43A6F"/>
    <w:rsid w:val="00D43B98"/>
    <w:rsid w:val="00D4428C"/>
    <w:rsid w:val="00D45707"/>
    <w:rsid w:val="00D45873"/>
    <w:rsid w:val="00D46CD3"/>
    <w:rsid w:val="00D473CA"/>
    <w:rsid w:val="00D47484"/>
    <w:rsid w:val="00D47A0D"/>
    <w:rsid w:val="00D50AF6"/>
    <w:rsid w:val="00D50FD5"/>
    <w:rsid w:val="00D529C8"/>
    <w:rsid w:val="00D52A86"/>
    <w:rsid w:val="00D52BB7"/>
    <w:rsid w:val="00D52CE6"/>
    <w:rsid w:val="00D533E0"/>
    <w:rsid w:val="00D543F8"/>
    <w:rsid w:val="00D5546E"/>
    <w:rsid w:val="00D5551B"/>
    <w:rsid w:val="00D55594"/>
    <w:rsid w:val="00D55B98"/>
    <w:rsid w:val="00D55E3A"/>
    <w:rsid w:val="00D57015"/>
    <w:rsid w:val="00D60208"/>
    <w:rsid w:val="00D61E1D"/>
    <w:rsid w:val="00D6227D"/>
    <w:rsid w:val="00D62B47"/>
    <w:rsid w:val="00D62F5E"/>
    <w:rsid w:val="00D6300D"/>
    <w:rsid w:val="00D63FC4"/>
    <w:rsid w:val="00D64761"/>
    <w:rsid w:val="00D64812"/>
    <w:rsid w:val="00D6605F"/>
    <w:rsid w:val="00D66969"/>
    <w:rsid w:val="00D66E57"/>
    <w:rsid w:val="00D6780F"/>
    <w:rsid w:val="00D70540"/>
    <w:rsid w:val="00D73534"/>
    <w:rsid w:val="00D737F1"/>
    <w:rsid w:val="00D73A18"/>
    <w:rsid w:val="00D74105"/>
    <w:rsid w:val="00D741FF"/>
    <w:rsid w:val="00D742FD"/>
    <w:rsid w:val="00D757CD"/>
    <w:rsid w:val="00D766FB"/>
    <w:rsid w:val="00D77223"/>
    <w:rsid w:val="00D77C06"/>
    <w:rsid w:val="00D80AA4"/>
    <w:rsid w:val="00D81F66"/>
    <w:rsid w:val="00D82A7E"/>
    <w:rsid w:val="00D82CE9"/>
    <w:rsid w:val="00D82E0A"/>
    <w:rsid w:val="00D83D32"/>
    <w:rsid w:val="00D847A2"/>
    <w:rsid w:val="00D84B51"/>
    <w:rsid w:val="00D87FA7"/>
    <w:rsid w:val="00D9043E"/>
    <w:rsid w:val="00D90580"/>
    <w:rsid w:val="00D90745"/>
    <w:rsid w:val="00D90DAF"/>
    <w:rsid w:val="00D90EB2"/>
    <w:rsid w:val="00D9164D"/>
    <w:rsid w:val="00D91BD9"/>
    <w:rsid w:val="00D930B9"/>
    <w:rsid w:val="00D933B7"/>
    <w:rsid w:val="00D93D45"/>
    <w:rsid w:val="00D95962"/>
    <w:rsid w:val="00D95B96"/>
    <w:rsid w:val="00D969AE"/>
    <w:rsid w:val="00D96D72"/>
    <w:rsid w:val="00DA17CE"/>
    <w:rsid w:val="00DA2DFB"/>
    <w:rsid w:val="00DA3ACF"/>
    <w:rsid w:val="00DA3ED5"/>
    <w:rsid w:val="00DA5CD1"/>
    <w:rsid w:val="00DA5F04"/>
    <w:rsid w:val="00DA6C57"/>
    <w:rsid w:val="00DA7198"/>
    <w:rsid w:val="00DA7F4F"/>
    <w:rsid w:val="00DA7FC3"/>
    <w:rsid w:val="00DB0025"/>
    <w:rsid w:val="00DB01B4"/>
    <w:rsid w:val="00DB0B0C"/>
    <w:rsid w:val="00DB0C1D"/>
    <w:rsid w:val="00DB0DBB"/>
    <w:rsid w:val="00DB102A"/>
    <w:rsid w:val="00DB15E4"/>
    <w:rsid w:val="00DB1B1B"/>
    <w:rsid w:val="00DB1E10"/>
    <w:rsid w:val="00DB1F2C"/>
    <w:rsid w:val="00DB2512"/>
    <w:rsid w:val="00DB3A53"/>
    <w:rsid w:val="00DB3AA3"/>
    <w:rsid w:val="00DB3CB9"/>
    <w:rsid w:val="00DB4467"/>
    <w:rsid w:val="00DB44DF"/>
    <w:rsid w:val="00DB51D8"/>
    <w:rsid w:val="00DB5985"/>
    <w:rsid w:val="00DB69BA"/>
    <w:rsid w:val="00DB6D60"/>
    <w:rsid w:val="00DB6D7C"/>
    <w:rsid w:val="00DB74B5"/>
    <w:rsid w:val="00DC03CE"/>
    <w:rsid w:val="00DC1B16"/>
    <w:rsid w:val="00DC2AF2"/>
    <w:rsid w:val="00DC3D22"/>
    <w:rsid w:val="00DC481B"/>
    <w:rsid w:val="00DC5AC9"/>
    <w:rsid w:val="00DC607E"/>
    <w:rsid w:val="00DC6629"/>
    <w:rsid w:val="00DC6848"/>
    <w:rsid w:val="00DC6AD6"/>
    <w:rsid w:val="00DD01EE"/>
    <w:rsid w:val="00DD12E2"/>
    <w:rsid w:val="00DD1A5D"/>
    <w:rsid w:val="00DD1FF2"/>
    <w:rsid w:val="00DD2CB5"/>
    <w:rsid w:val="00DD3BC0"/>
    <w:rsid w:val="00DD4303"/>
    <w:rsid w:val="00DD4423"/>
    <w:rsid w:val="00DD47CB"/>
    <w:rsid w:val="00DD49A1"/>
    <w:rsid w:val="00DD49F6"/>
    <w:rsid w:val="00DD4BF0"/>
    <w:rsid w:val="00DD5257"/>
    <w:rsid w:val="00DD5477"/>
    <w:rsid w:val="00DD5505"/>
    <w:rsid w:val="00DD7B18"/>
    <w:rsid w:val="00DE15EE"/>
    <w:rsid w:val="00DE1C4A"/>
    <w:rsid w:val="00DE289D"/>
    <w:rsid w:val="00DE44AE"/>
    <w:rsid w:val="00DE45A7"/>
    <w:rsid w:val="00DE4A71"/>
    <w:rsid w:val="00DE5167"/>
    <w:rsid w:val="00DE58AD"/>
    <w:rsid w:val="00DE63AD"/>
    <w:rsid w:val="00DE703D"/>
    <w:rsid w:val="00DF1704"/>
    <w:rsid w:val="00DF183F"/>
    <w:rsid w:val="00DF2798"/>
    <w:rsid w:val="00DF2DE9"/>
    <w:rsid w:val="00DF45F3"/>
    <w:rsid w:val="00DF49F8"/>
    <w:rsid w:val="00DF54A7"/>
    <w:rsid w:val="00DF55ED"/>
    <w:rsid w:val="00DF5D30"/>
    <w:rsid w:val="00DF5F6C"/>
    <w:rsid w:val="00DF649D"/>
    <w:rsid w:val="00DF679B"/>
    <w:rsid w:val="00DF7F35"/>
    <w:rsid w:val="00E00D03"/>
    <w:rsid w:val="00E01668"/>
    <w:rsid w:val="00E017F9"/>
    <w:rsid w:val="00E027B3"/>
    <w:rsid w:val="00E02918"/>
    <w:rsid w:val="00E02B1D"/>
    <w:rsid w:val="00E0336D"/>
    <w:rsid w:val="00E03606"/>
    <w:rsid w:val="00E040B7"/>
    <w:rsid w:val="00E05338"/>
    <w:rsid w:val="00E055DE"/>
    <w:rsid w:val="00E05BBA"/>
    <w:rsid w:val="00E05EAC"/>
    <w:rsid w:val="00E06231"/>
    <w:rsid w:val="00E06E1E"/>
    <w:rsid w:val="00E06F13"/>
    <w:rsid w:val="00E1252A"/>
    <w:rsid w:val="00E13492"/>
    <w:rsid w:val="00E134D4"/>
    <w:rsid w:val="00E13C95"/>
    <w:rsid w:val="00E13DEE"/>
    <w:rsid w:val="00E13F55"/>
    <w:rsid w:val="00E15B41"/>
    <w:rsid w:val="00E16156"/>
    <w:rsid w:val="00E16BB2"/>
    <w:rsid w:val="00E16F32"/>
    <w:rsid w:val="00E178B9"/>
    <w:rsid w:val="00E17914"/>
    <w:rsid w:val="00E17B00"/>
    <w:rsid w:val="00E2079B"/>
    <w:rsid w:val="00E20CFE"/>
    <w:rsid w:val="00E22FAC"/>
    <w:rsid w:val="00E2349C"/>
    <w:rsid w:val="00E23662"/>
    <w:rsid w:val="00E23E0C"/>
    <w:rsid w:val="00E24C0F"/>
    <w:rsid w:val="00E24E27"/>
    <w:rsid w:val="00E257D2"/>
    <w:rsid w:val="00E269AD"/>
    <w:rsid w:val="00E27937"/>
    <w:rsid w:val="00E31201"/>
    <w:rsid w:val="00E31374"/>
    <w:rsid w:val="00E3179F"/>
    <w:rsid w:val="00E31BAA"/>
    <w:rsid w:val="00E31CE1"/>
    <w:rsid w:val="00E31E85"/>
    <w:rsid w:val="00E32357"/>
    <w:rsid w:val="00E3250E"/>
    <w:rsid w:val="00E329B5"/>
    <w:rsid w:val="00E329E1"/>
    <w:rsid w:val="00E33BAA"/>
    <w:rsid w:val="00E33E62"/>
    <w:rsid w:val="00E33E9C"/>
    <w:rsid w:val="00E341BA"/>
    <w:rsid w:val="00E34241"/>
    <w:rsid w:val="00E34590"/>
    <w:rsid w:val="00E34E12"/>
    <w:rsid w:val="00E34F1F"/>
    <w:rsid w:val="00E35369"/>
    <w:rsid w:val="00E36A27"/>
    <w:rsid w:val="00E36E3C"/>
    <w:rsid w:val="00E36E74"/>
    <w:rsid w:val="00E401BD"/>
    <w:rsid w:val="00E427E6"/>
    <w:rsid w:val="00E4287E"/>
    <w:rsid w:val="00E42888"/>
    <w:rsid w:val="00E428D3"/>
    <w:rsid w:val="00E42AF8"/>
    <w:rsid w:val="00E431B4"/>
    <w:rsid w:val="00E437CB"/>
    <w:rsid w:val="00E4390D"/>
    <w:rsid w:val="00E43C40"/>
    <w:rsid w:val="00E43D88"/>
    <w:rsid w:val="00E4418B"/>
    <w:rsid w:val="00E4428E"/>
    <w:rsid w:val="00E4460E"/>
    <w:rsid w:val="00E447F4"/>
    <w:rsid w:val="00E44FED"/>
    <w:rsid w:val="00E4567E"/>
    <w:rsid w:val="00E46518"/>
    <w:rsid w:val="00E46950"/>
    <w:rsid w:val="00E46B87"/>
    <w:rsid w:val="00E47885"/>
    <w:rsid w:val="00E50251"/>
    <w:rsid w:val="00E50BC0"/>
    <w:rsid w:val="00E5110D"/>
    <w:rsid w:val="00E5173F"/>
    <w:rsid w:val="00E522CB"/>
    <w:rsid w:val="00E525BD"/>
    <w:rsid w:val="00E52B87"/>
    <w:rsid w:val="00E53D9B"/>
    <w:rsid w:val="00E54071"/>
    <w:rsid w:val="00E54574"/>
    <w:rsid w:val="00E557E2"/>
    <w:rsid w:val="00E55811"/>
    <w:rsid w:val="00E558E0"/>
    <w:rsid w:val="00E559B3"/>
    <w:rsid w:val="00E564A1"/>
    <w:rsid w:val="00E5653C"/>
    <w:rsid w:val="00E56B5B"/>
    <w:rsid w:val="00E56BF2"/>
    <w:rsid w:val="00E619A8"/>
    <w:rsid w:val="00E61D5E"/>
    <w:rsid w:val="00E620AB"/>
    <w:rsid w:val="00E637AE"/>
    <w:rsid w:val="00E646D8"/>
    <w:rsid w:val="00E6536E"/>
    <w:rsid w:val="00E6635E"/>
    <w:rsid w:val="00E66E99"/>
    <w:rsid w:val="00E670E4"/>
    <w:rsid w:val="00E67493"/>
    <w:rsid w:val="00E677E6"/>
    <w:rsid w:val="00E67AB6"/>
    <w:rsid w:val="00E67C4C"/>
    <w:rsid w:val="00E67F8A"/>
    <w:rsid w:val="00E71297"/>
    <w:rsid w:val="00E71D63"/>
    <w:rsid w:val="00E72457"/>
    <w:rsid w:val="00E72691"/>
    <w:rsid w:val="00E729D6"/>
    <w:rsid w:val="00E73650"/>
    <w:rsid w:val="00E737D3"/>
    <w:rsid w:val="00E739A5"/>
    <w:rsid w:val="00E73BC8"/>
    <w:rsid w:val="00E73F9C"/>
    <w:rsid w:val="00E7446F"/>
    <w:rsid w:val="00E74EA2"/>
    <w:rsid w:val="00E74EC5"/>
    <w:rsid w:val="00E75B0F"/>
    <w:rsid w:val="00E760BC"/>
    <w:rsid w:val="00E7657A"/>
    <w:rsid w:val="00E76964"/>
    <w:rsid w:val="00E76980"/>
    <w:rsid w:val="00E77043"/>
    <w:rsid w:val="00E777D2"/>
    <w:rsid w:val="00E779AB"/>
    <w:rsid w:val="00E83178"/>
    <w:rsid w:val="00E83FB6"/>
    <w:rsid w:val="00E84FF0"/>
    <w:rsid w:val="00E85D03"/>
    <w:rsid w:val="00E86CE8"/>
    <w:rsid w:val="00E875B9"/>
    <w:rsid w:val="00E90331"/>
    <w:rsid w:val="00E90D60"/>
    <w:rsid w:val="00E9152E"/>
    <w:rsid w:val="00E917AE"/>
    <w:rsid w:val="00E91A02"/>
    <w:rsid w:val="00E92681"/>
    <w:rsid w:val="00E9302F"/>
    <w:rsid w:val="00E94D54"/>
    <w:rsid w:val="00E95EB1"/>
    <w:rsid w:val="00E973DB"/>
    <w:rsid w:val="00E976FD"/>
    <w:rsid w:val="00E97F96"/>
    <w:rsid w:val="00EA0C55"/>
    <w:rsid w:val="00EA0D35"/>
    <w:rsid w:val="00EA0EDB"/>
    <w:rsid w:val="00EA10E0"/>
    <w:rsid w:val="00EA1713"/>
    <w:rsid w:val="00EA1A01"/>
    <w:rsid w:val="00EA23EE"/>
    <w:rsid w:val="00EA2473"/>
    <w:rsid w:val="00EA292A"/>
    <w:rsid w:val="00EA44A1"/>
    <w:rsid w:val="00EA6646"/>
    <w:rsid w:val="00EA6CB7"/>
    <w:rsid w:val="00EA7663"/>
    <w:rsid w:val="00EA78ED"/>
    <w:rsid w:val="00EB0736"/>
    <w:rsid w:val="00EB07ED"/>
    <w:rsid w:val="00EB0D11"/>
    <w:rsid w:val="00EB1297"/>
    <w:rsid w:val="00EB15CB"/>
    <w:rsid w:val="00EB226B"/>
    <w:rsid w:val="00EB2948"/>
    <w:rsid w:val="00EB2CC7"/>
    <w:rsid w:val="00EB5051"/>
    <w:rsid w:val="00EB5BD2"/>
    <w:rsid w:val="00EB5E45"/>
    <w:rsid w:val="00EB671A"/>
    <w:rsid w:val="00EB696B"/>
    <w:rsid w:val="00EC1105"/>
    <w:rsid w:val="00EC1341"/>
    <w:rsid w:val="00EC13EE"/>
    <w:rsid w:val="00EC1577"/>
    <w:rsid w:val="00EC15F8"/>
    <w:rsid w:val="00EC1BE5"/>
    <w:rsid w:val="00EC23F3"/>
    <w:rsid w:val="00EC2534"/>
    <w:rsid w:val="00EC2BA1"/>
    <w:rsid w:val="00EC2BCE"/>
    <w:rsid w:val="00EC3874"/>
    <w:rsid w:val="00EC3AEC"/>
    <w:rsid w:val="00EC3DFC"/>
    <w:rsid w:val="00EC4282"/>
    <w:rsid w:val="00EC4A27"/>
    <w:rsid w:val="00EC535E"/>
    <w:rsid w:val="00EC58F3"/>
    <w:rsid w:val="00EC5D42"/>
    <w:rsid w:val="00EC5EA0"/>
    <w:rsid w:val="00EC6708"/>
    <w:rsid w:val="00EC69AA"/>
    <w:rsid w:val="00EC6C2F"/>
    <w:rsid w:val="00EC6CAB"/>
    <w:rsid w:val="00ED03F1"/>
    <w:rsid w:val="00ED0629"/>
    <w:rsid w:val="00ED13EB"/>
    <w:rsid w:val="00ED2490"/>
    <w:rsid w:val="00ED2ADE"/>
    <w:rsid w:val="00ED421C"/>
    <w:rsid w:val="00ED4372"/>
    <w:rsid w:val="00ED490F"/>
    <w:rsid w:val="00ED5150"/>
    <w:rsid w:val="00ED5415"/>
    <w:rsid w:val="00ED5FFC"/>
    <w:rsid w:val="00ED6024"/>
    <w:rsid w:val="00ED72F8"/>
    <w:rsid w:val="00EE0247"/>
    <w:rsid w:val="00EE16B6"/>
    <w:rsid w:val="00EE3B35"/>
    <w:rsid w:val="00EE3C5E"/>
    <w:rsid w:val="00EE44E4"/>
    <w:rsid w:val="00EE4C4A"/>
    <w:rsid w:val="00EE4CA8"/>
    <w:rsid w:val="00EE6664"/>
    <w:rsid w:val="00EE70A2"/>
    <w:rsid w:val="00EE717F"/>
    <w:rsid w:val="00EE765D"/>
    <w:rsid w:val="00EE79D4"/>
    <w:rsid w:val="00EF0462"/>
    <w:rsid w:val="00EF0744"/>
    <w:rsid w:val="00EF2611"/>
    <w:rsid w:val="00EF32EF"/>
    <w:rsid w:val="00EF3CEF"/>
    <w:rsid w:val="00EF45B1"/>
    <w:rsid w:val="00EF505B"/>
    <w:rsid w:val="00EF5DAD"/>
    <w:rsid w:val="00EF65DA"/>
    <w:rsid w:val="00EF6D3C"/>
    <w:rsid w:val="00EF77DB"/>
    <w:rsid w:val="00EF79C3"/>
    <w:rsid w:val="00EF7CBD"/>
    <w:rsid w:val="00F0014E"/>
    <w:rsid w:val="00F00D9C"/>
    <w:rsid w:val="00F01A9A"/>
    <w:rsid w:val="00F01BC5"/>
    <w:rsid w:val="00F034D5"/>
    <w:rsid w:val="00F03736"/>
    <w:rsid w:val="00F03EFF"/>
    <w:rsid w:val="00F04A83"/>
    <w:rsid w:val="00F04B23"/>
    <w:rsid w:val="00F04D26"/>
    <w:rsid w:val="00F056A3"/>
    <w:rsid w:val="00F05792"/>
    <w:rsid w:val="00F05F6E"/>
    <w:rsid w:val="00F0638A"/>
    <w:rsid w:val="00F0653E"/>
    <w:rsid w:val="00F066C7"/>
    <w:rsid w:val="00F06940"/>
    <w:rsid w:val="00F104C8"/>
    <w:rsid w:val="00F115E7"/>
    <w:rsid w:val="00F11C83"/>
    <w:rsid w:val="00F12302"/>
    <w:rsid w:val="00F12738"/>
    <w:rsid w:val="00F134D5"/>
    <w:rsid w:val="00F13E0C"/>
    <w:rsid w:val="00F148A1"/>
    <w:rsid w:val="00F14FED"/>
    <w:rsid w:val="00F150C4"/>
    <w:rsid w:val="00F151A9"/>
    <w:rsid w:val="00F1538C"/>
    <w:rsid w:val="00F16C0E"/>
    <w:rsid w:val="00F17D4C"/>
    <w:rsid w:val="00F17F16"/>
    <w:rsid w:val="00F17FD7"/>
    <w:rsid w:val="00F2042A"/>
    <w:rsid w:val="00F20A03"/>
    <w:rsid w:val="00F21A9F"/>
    <w:rsid w:val="00F21F93"/>
    <w:rsid w:val="00F222C9"/>
    <w:rsid w:val="00F253AF"/>
    <w:rsid w:val="00F2555C"/>
    <w:rsid w:val="00F259C2"/>
    <w:rsid w:val="00F26220"/>
    <w:rsid w:val="00F263D7"/>
    <w:rsid w:val="00F26877"/>
    <w:rsid w:val="00F27017"/>
    <w:rsid w:val="00F27BCC"/>
    <w:rsid w:val="00F30DB7"/>
    <w:rsid w:val="00F30F9E"/>
    <w:rsid w:val="00F319E1"/>
    <w:rsid w:val="00F31E66"/>
    <w:rsid w:val="00F32F73"/>
    <w:rsid w:val="00F34881"/>
    <w:rsid w:val="00F35510"/>
    <w:rsid w:val="00F36916"/>
    <w:rsid w:val="00F36F6C"/>
    <w:rsid w:val="00F378EF"/>
    <w:rsid w:val="00F4013D"/>
    <w:rsid w:val="00F41083"/>
    <w:rsid w:val="00F41599"/>
    <w:rsid w:val="00F421DF"/>
    <w:rsid w:val="00F42764"/>
    <w:rsid w:val="00F42D58"/>
    <w:rsid w:val="00F43177"/>
    <w:rsid w:val="00F43EB4"/>
    <w:rsid w:val="00F45DAD"/>
    <w:rsid w:val="00F46092"/>
    <w:rsid w:val="00F51531"/>
    <w:rsid w:val="00F5182A"/>
    <w:rsid w:val="00F51C36"/>
    <w:rsid w:val="00F5295E"/>
    <w:rsid w:val="00F53792"/>
    <w:rsid w:val="00F53C9F"/>
    <w:rsid w:val="00F5459E"/>
    <w:rsid w:val="00F549C6"/>
    <w:rsid w:val="00F56B74"/>
    <w:rsid w:val="00F57687"/>
    <w:rsid w:val="00F579A2"/>
    <w:rsid w:val="00F60FC0"/>
    <w:rsid w:val="00F61F35"/>
    <w:rsid w:val="00F62C34"/>
    <w:rsid w:val="00F63E1D"/>
    <w:rsid w:val="00F63E3E"/>
    <w:rsid w:val="00F6492B"/>
    <w:rsid w:val="00F661E9"/>
    <w:rsid w:val="00F667B3"/>
    <w:rsid w:val="00F67F64"/>
    <w:rsid w:val="00F7021B"/>
    <w:rsid w:val="00F70866"/>
    <w:rsid w:val="00F70D8D"/>
    <w:rsid w:val="00F71768"/>
    <w:rsid w:val="00F71BCE"/>
    <w:rsid w:val="00F71F30"/>
    <w:rsid w:val="00F71F5C"/>
    <w:rsid w:val="00F728A8"/>
    <w:rsid w:val="00F72BCD"/>
    <w:rsid w:val="00F72C4D"/>
    <w:rsid w:val="00F73270"/>
    <w:rsid w:val="00F73369"/>
    <w:rsid w:val="00F73454"/>
    <w:rsid w:val="00F73B82"/>
    <w:rsid w:val="00F73E6A"/>
    <w:rsid w:val="00F75374"/>
    <w:rsid w:val="00F77777"/>
    <w:rsid w:val="00F806CA"/>
    <w:rsid w:val="00F80C3A"/>
    <w:rsid w:val="00F80E01"/>
    <w:rsid w:val="00F8247D"/>
    <w:rsid w:val="00F82678"/>
    <w:rsid w:val="00F826A5"/>
    <w:rsid w:val="00F828FE"/>
    <w:rsid w:val="00F82986"/>
    <w:rsid w:val="00F82A25"/>
    <w:rsid w:val="00F83A9B"/>
    <w:rsid w:val="00F848B1"/>
    <w:rsid w:val="00F85525"/>
    <w:rsid w:val="00F860D5"/>
    <w:rsid w:val="00F86BFA"/>
    <w:rsid w:val="00F875A9"/>
    <w:rsid w:val="00F87B1C"/>
    <w:rsid w:val="00F90AFF"/>
    <w:rsid w:val="00F90D2F"/>
    <w:rsid w:val="00F912C8"/>
    <w:rsid w:val="00F9148B"/>
    <w:rsid w:val="00F91A40"/>
    <w:rsid w:val="00F91ABE"/>
    <w:rsid w:val="00F91D2E"/>
    <w:rsid w:val="00F94319"/>
    <w:rsid w:val="00F94E46"/>
    <w:rsid w:val="00F95593"/>
    <w:rsid w:val="00F95AA5"/>
    <w:rsid w:val="00F96985"/>
    <w:rsid w:val="00F96B3E"/>
    <w:rsid w:val="00F96D8B"/>
    <w:rsid w:val="00F97203"/>
    <w:rsid w:val="00F977E0"/>
    <w:rsid w:val="00F979AA"/>
    <w:rsid w:val="00F97DFC"/>
    <w:rsid w:val="00FA0B4F"/>
    <w:rsid w:val="00FA0DF1"/>
    <w:rsid w:val="00FA0F59"/>
    <w:rsid w:val="00FA1A68"/>
    <w:rsid w:val="00FA3E37"/>
    <w:rsid w:val="00FA3E99"/>
    <w:rsid w:val="00FA43DB"/>
    <w:rsid w:val="00FA4749"/>
    <w:rsid w:val="00FA53D3"/>
    <w:rsid w:val="00FA5510"/>
    <w:rsid w:val="00FA591A"/>
    <w:rsid w:val="00FA643C"/>
    <w:rsid w:val="00FA6D54"/>
    <w:rsid w:val="00FB030F"/>
    <w:rsid w:val="00FB0F62"/>
    <w:rsid w:val="00FB150C"/>
    <w:rsid w:val="00FB1A4B"/>
    <w:rsid w:val="00FB2EF5"/>
    <w:rsid w:val="00FB3720"/>
    <w:rsid w:val="00FB392F"/>
    <w:rsid w:val="00FB4A95"/>
    <w:rsid w:val="00FB51C4"/>
    <w:rsid w:val="00FB55D5"/>
    <w:rsid w:val="00FB5795"/>
    <w:rsid w:val="00FB5865"/>
    <w:rsid w:val="00FB58B5"/>
    <w:rsid w:val="00FB595B"/>
    <w:rsid w:val="00FB5A07"/>
    <w:rsid w:val="00FB7BD6"/>
    <w:rsid w:val="00FC0584"/>
    <w:rsid w:val="00FC135E"/>
    <w:rsid w:val="00FC3A52"/>
    <w:rsid w:val="00FC4BB0"/>
    <w:rsid w:val="00FC4BF5"/>
    <w:rsid w:val="00FC53C1"/>
    <w:rsid w:val="00FC5CCA"/>
    <w:rsid w:val="00FC5F18"/>
    <w:rsid w:val="00FC7CC1"/>
    <w:rsid w:val="00FC7D90"/>
    <w:rsid w:val="00FD0560"/>
    <w:rsid w:val="00FD0F55"/>
    <w:rsid w:val="00FD12D8"/>
    <w:rsid w:val="00FD1BF9"/>
    <w:rsid w:val="00FD1D4B"/>
    <w:rsid w:val="00FD207D"/>
    <w:rsid w:val="00FD23BE"/>
    <w:rsid w:val="00FD28AC"/>
    <w:rsid w:val="00FD2E4B"/>
    <w:rsid w:val="00FD3B48"/>
    <w:rsid w:val="00FD41DB"/>
    <w:rsid w:val="00FD51F2"/>
    <w:rsid w:val="00FD56A1"/>
    <w:rsid w:val="00FD5828"/>
    <w:rsid w:val="00FD5A3F"/>
    <w:rsid w:val="00FD5C12"/>
    <w:rsid w:val="00FD7193"/>
    <w:rsid w:val="00FD7C86"/>
    <w:rsid w:val="00FD7E28"/>
    <w:rsid w:val="00FE009D"/>
    <w:rsid w:val="00FE096D"/>
    <w:rsid w:val="00FE0F33"/>
    <w:rsid w:val="00FE13F2"/>
    <w:rsid w:val="00FE2388"/>
    <w:rsid w:val="00FE28B1"/>
    <w:rsid w:val="00FE4672"/>
    <w:rsid w:val="00FE46D2"/>
    <w:rsid w:val="00FE4BE7"/>
    <w:rsid w:val="00FE7B63"/>
    <w:rsid w:val="00FF137B"/>
    <w:rsid w:val="00FF242C"/>
    <w:rsid w:val="00FF262B"/>
    <w:rsid w:val="00FF3848"/>
    <w:rsid w:val="00FF5733"/>
    <w:rsid w:val="00FF5DB9"/>
    <w:rsid w:val="00FF63A2"/>
    <w:rsid w:val="00FF6AFA"/>
    <w:rsid w:val="00FF7B4E"/>
    <w:rsid w:val="00FF7D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C90092"/>
  <w15:docId w15:val="{9DF1734E-977F-DB4F-90B6-DE744823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541A9"/>
    <w:pPr>
      <w:overflowPunct w:val="0"/>
      <w:autoSpaceDE w:val="0"/>
      <w:autoSpaceDN w:val="0"/>
      <w:adjustRightInd w:val="0"/>
      <w:textAlignment w:val="baseline"/>
    </w:pPr>
    <w:rPr>
      <w:rFonts w:ascii="Palatino" w:hAnsi="Palatino"/>
      <w:szCs w:val="20"/>
      <w:lang w:eastAsia="en-US"/>
    </w:rPr>
  </w:style>
  <w:style w:type="character" w:styleId="EndnoteReference">
    <w:name w:val="endnote reference"/>
    <w:semiHidden/>
    <w:rsid w:val="004541A9"/>
    <w:rPr>
      <w:vertAlign w:val="superscript"/>
    </w:rPr>
  </w:style>
  <w:style w:type="paragraph" w:styleId="FootnoteText">
    <w:name w:val="footnote text"/>
    <w:basedOn w:val="Normal"/>
    <w:semiHidden/>
    <w:rsid w:val="004541A9"/>
    <w:pPr>
      <w:overflowPunct w:val="0"/>
      <w:autoSpaceDE w:val="0"/>
      <w:autoSpaceDN w:val="0"/>
      <w:adjustRightInd w:val="0"/>
      <w:textAlignment w:val="baseline"/>
    </w:pPr>
    <w:rPr>
      <w:rFonts w:ascii="Palatino" w:hAnsi="Palatino"/>
      <w:szCs w:val="20"/>
      <w:lang w:eastAsia="en-US"/>
    </w:rPr>
  </w:style>
  <w:style w:type="character" w:styleId="FootnoteReference">
    <w:name w:val="footnote reference"/>
    <w:semiHidden/>
    <w:rsid w:val="004541A9"/>
    <w:rPr>
      <w:vertAlign w:val="superscript"/>
    </w:rPr>
  </w:style>
  <w:style w:type="paragraph" w:customStyle="1" w:styleId="SubjectTitl">
    <w:name w:val="Subject Titl"/>
    <w:rsid w:val="004541A9"/>
    <w:pPr>
      <w:tabs>
        <w:tab w:val="left" w:pos="-720"/>
      </w:tabs>
      <w:suppressAutoHyphens/>
      <w:overflowPunct w:val="0"/>
      <w:autoSpaceDE w:val="0"/>
      <w:autoSpaceDN w:val="0"/>
      <w:adjustRightInd w:val="0"/>
      <w:jc w:val="both"/>
      <w:textAlignment w:val="baseline"/>
    </w:pPr>
    <w:rPr>
      <w:rFonts w:ascii="Bookman" w:hAnsi="Bookman"/>
      <w:b/>
      <w:spacing w:val="-3"/>
      <w:sz w:val="24"/>
      <w:u w:val="single"/>
      <w:lang w:val="en-US" w:eastAsia="en-US"/>
    </w:rPr>
  </w:style>
  <w:style w:type="paragraph" w:customStyle="1" w:styleId="Title1">
    <w:name w:val="Title1"/>
    <w:rsid w:val="004541A9"/>
    <w:pPr>
      <w:tabs>
        <w:tab w:val="left" w:pos="-360"/>
        <w:tab w:val="left" w:pos="360"/>
        <w:tab w:val="left" w:pos="1620"/>
        <w:tab w:val="center" w:pos="5400"/>
        <w:tab w:val="center" w:pos="6840"/>
      </w:tabs>
      <w:suppressAutoHyphens/>
      <w:overflowPunct w:val="0"/>
      <w:autoSpaceDE w:val="0"/>
      <w:autoSpaceDN w:val="0"/>
      <w:adjustRightInd w:val="0"/>
      <w:ind w:left="360" w:hanging="360"/>
      <w:jc w:val="both"/>
      <w:textAlignment w:val="baseline"/>
    </w:pPr>
    <w:rPr>
      <w:rFonts w:ascii="Bookman" w:hAnsi="Bookman"/>
      <w:b/>
      <w:spacing w:val="-3"/>
      <w:sz w:val="28"/>
      <w:u w:val="single"/>
      <w:lang w:val="en-US" w:eastAsia="en-US"/>
    </w:rPr>
  </w:style>
  <w:style w:type="paragraph" w:styleId="Header">
    <w:name w:val="header"/>
    <w:basedOn w:val="Normal"/>
    <w:semiHidden/>
    <w:rsid w:val="004541A9"/>
    <w:pPr>
      <w:tabs>
        <w:tab w:val="right" w:pos="8640"/>
      </w:tabs>
      <w:suppressAutoHyphens/>
      <w:overflowPunct w:val="0"/>
      <w:autoSpaceDE w:val="0"/>
      <w:autoSpaceDN w:val="0"/>
      <w:adjustRightInd w:val="0"/>
      <w:jc w:val="both"/>
      <w:textAlignment w:val="baseline"/>
    </w:pPr>
    <w:rPr>
      <w:rFonts w:ascii="Bookman" w:hAnsi="Bookman"/>
      <w:spacing w:val="-3"/>
      <w:szCs w:val="20"/>
      <w:lang w:val="en-US" w:eastAsia="en-US"/>
    </w:rPr>
  </w:style>
  <w:style w:type="paragraph" w:styleId="Footer">
    <w:name w:val="footer"/>
    <w:basedOn w:val="Normal"/>
    <w:semiHidden/>
    <w:rsid w:val="004541A9"/>
    <w:pPr>
      <w:tabs>
        <w:tab w:val="center" w:pos="3960"/>
        <w:tab w:val="right" w:pos="8280"/>
      </w:tabs>
      <w:suppressAutoHyphens/>
      <w:overflowPunct w:val="0"/>
      <w:autoSpaceDE w:val="0"/>
      <w:autoSpaceDN w:val="0"/>
      <w:adjustRightInd w:val="0"/>
      <w:jc w:val="both"/>
      <w:textAlignment w:val="baseline"/>
    </w:pPr>
    <w:rPr>
      <w:rFonts w:ascii="Bookman" w:hAnsi="Bookman"/>
      <w:spacing w:val="-3"/>
      <w:szCs w:val="20"/>
      <w:lang w:val="en-US" w:eastAsia="en-US"/>
    </w:rPr>
  </w:style>
  <w:style w:type="paragraph" w:customStyle="1" w:styleId="Indent">
    <w:name w:val="Indent"/>
    <w:rsid w:val="004541A9"/>
    <w:pPr>
      <w:tabs>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overflowPunct w:val="0"/>
      <w:autoSpaceDE w:val="0"/>
      <w:autoSpaceDN w:val="0"/>
      <w:adjustRightInd w:val="0"/>
      <w:ind w:left="720" w:hanging="720"/>
      <w:jc w:val="both"/>
      <w:textAlignment w:val="baseline"/>
    </w:pPr>
    <w:rPr>
      <w:rFonts w:ascii="Bookman" w:hAnsi="Bookman"/>
      <w:spacing w:val="-3"/>
      <w:sz w:val="24"/>
      <w:lang w:val="en-US" w:eastAsia="en-US"/>
    </w:rPr>
  </w:style>
  <w:style w:type="character" w:customStyle="1" w:styleId="Document8">
    <w:name w:val="Document 8"/>
    <w:rsid w:val="004541A9"/>
    <w:rPr>
      <w:rFonts w:cs="Times New Roman"/>
    </w:rPr>
  </w:style>
  <w:style w:type="character" w:customStyle="1" w:styleId="Document4">
    <w:name w:val="Document 4"/>
    <w:rsid w:val="004541A9"/>
    <w:rPr>
      <w:b/>
      <w:i/>
      <w:sz w:val="23"/>
    </w:rPr>
  </w:style>
  <w:style w:type="character" w:customStyle="1" w:styleId="Document6">
    <w:name w:val="Document 6"/>
    <w:rsid w:val="004541A9"/>
    <w:rPr>
      <w:rFonts w:cs="Times New Roman"/>
    </w:rPr>
  </w:style>
  <w:style w:type="character" w:customStyle="1" w:styleId="Document5">
    <w:name w:val="Document 5"/>
    <w:rsid w:val="004541A9"/>
    <w:rPr>
      <w:rFonts w:cs="Times New Roman"/>
    </w:rPr>
  </w:style>
  <w:style w:type="character" w:customStyle="1" w:styleId="Document2">
    <w:name w:val="Document 2"/>
    <w:rsid w:val="004541A9"/>
    <w:rPr>
      <w:rFonts w:ascii="Palatino" w:hAnsi="Palatino"/>
      <w:sz w:val="23"/>
      <w:lang w:val="en-US"/>
    </w:rPr>
  </w:style>
  <w:style w:type="character" w:customStyle="1" w:styleId="Document7">
    <w:name w:val="Document 7"/>
    <w:rsid w:val="004541A9"/>
    <w:rPr>
      <w:rFonts w:cs="Times New Roman"/>
    </w:rPr>
  </w:style>
  <w:style w:type="character" w:customStyle="1" w:styleId="Bibliogrphy">
    <w:name w:val="Bibliogrphy"/>
    <w:rsid w:val="004541A9"/>
    <w:rPr>
      <w:rFonts w:cs="Times New Roman"/>
    </w:rPr>
  </w:style>
  <w:style w:type="paragraph" w:customStyle="1" w:styleId="RightPar1">
    <w:name w:val="Right Par 1"/>
    <w:rsid w:val="004541A9"/>
    <w:pPr>
      <w:tabs>
        <w:tab w:val="left" w:pos="-720"/>
        <w:tab w:val="left" w:pos="0"/>
        <w:tab w:val="decimal" w:pos="720"/>
      </w:tabs>
      <w:suppressAutoHyphens/>
      <w:overflowPunct w:val="0"/>
      <w:autoSpaceDE w:val="0"/>
      <w:autoSpaceDN w:val="0"/>
      <w:adjustRightInd w:val="0"/>
      <w:ind w:left="720"/>
      <w:textAlignment w:val="baseline"/>
    </w:pPr>
    <w:rPr>
      <w:rFonts w:ascii="Palatino" w:hAnsi="Palatino"/>
      <w:sz w:val="23"/>
      <w:lang w:val="en-US" w:eastAsia="en-US"/>
    </w:rPr>
  </w:style>
  <w:style w:type="paragraph" w:customStyle="1" w:styleId="RightPar2">
    <w:name w:val="Right Par 2"/>
    <w:rsid w:val="004541A9"/>
    <w:pPr>
      <w:tabs>
        <w:tab w:val="left" w:pos="-720"/>
        <w:tab w:val="left" w:pos="0"/>
        <w:tab w:val="left" w:pos="720"/>
        <w:tab w:val="decimal" w:pos="1440"/>
      </w:tabs>
      <w:suppressAutoHyphens/>
      <w:overflowPunct w:val="0"/>
      <w:autoSpaceDE w:val="0"/>
      <w:autoSpaceDN w:val="0"/>
      <w:adjustRightInd w:val="0"/>
      <w:ind w:left="1440"/>
      <w:textAlignment w:val="baseline"/>
    </w:pPr>
    <w:rPr>
      <w:rFonts w:ascii="Palatino" w:hAnsi="Palatino"/>
      <w:sz w:val="23"/>
      <w:lang w:val="en-US" w:eastAsia="en-US"/>
    </w:rPr>
  </w:style>
  <w:style w:type="character" w:customStyle="1" w:styleId="Document3">
    <w:name w:val="Document 3"/>
    <w:rsid w:val="004541A9"/>
    <w:rPr>
      <w:rFonts w:ascii="Palatino" w:hAnsi="Palatino"/>
      <w:sz w:val="23"/>
      <w:lang w:val="en-US"/>
    </w:rPr>
  </w:style>
  <w:style w:type="paragraph" w:customStyle="1" w:styleId="RightPar3">
    <w:name w:val="Right Par 3"/>
    <w:rsid w:val="004541A9"/>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Palatino" w:hAnsi="Palatino"/>
      <w:sz w:val="23"/>
      <w:lang w:val="en-US" w:eastAsia="en-US"/>
    </w:rPr>
  </w:style>
  <w:style w:type="paragraph" w:customStyle="1" w:styleId="RightPar4">
    <w:name w:val="Right Par 4"/>
    <w:rsid w:val="004541A9"/>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Palatino" w:hAnsi="Palatino"/>
      <w:sz w:val="23"/>
      <w:lang w:val="en-US" w:eastAsia="en-US"/>
    </w:rPr>
  </w:style>
  <w:style w:type="paragraph" w:customStyle="1" w:styleId="RightPar5">
    <w:name w:val="Right Par 5"/>
    <w:rsid w:val="004541A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Palatino" w:hAnsi="Palatino"/>
      <w:sz w:val="23"/>
      <w:lang w:val="en-US" w:eastAsia="en-US"/>
    </w:rPr>
  </w:style>
  <w:style w:type="paragraph" w:customStyle="1" w:styleId="RightPar6">
    <w:name w:val="Right Par 6"/>
    <w:rsid w:val="004541A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Palatino" w:hAnsi="Palatino"/>
      <w:sz w:val="23"/>
      <w:lang w:val="en-US" w:eastAsia="en-US"/>
    </w:rPr>
  </w:style>
  <w:style w:type="paragraph" w:customStyle="1" w:styleId="RightPar7">
    <w:name w:val="Right Par 7"/>
    <w:rsid w:val="004541A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Palatino" w:hAnsi="Palatino"/>
      <w:sz w:val="23"/>
      <w:lang w:val="en-US" w:eastAsia="en-US"/>
    </w:rPr>
  </w:style>
  <w:style w:type="paragraph" w:customStyle="1" w:styleId="RightPar8">
    <w:name w:val="Right Par 8"/>
    <w:rsid w:val="004541A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Palatino" w:hAnsi="Palatino"/>
      <w:sz w:val="23"/>
      <w:lang w:val="en-US" w:eastAsia="en-US"/>
    </w:rPr>
  </w:style>
  <w:style w:type="paragraph" w:customStyle="1" w:styleId="Document1">
    <w:name w:val="Document 1"/>
    <w:rsid w:val="004541A9"/>
    <w:pPr>
      <w:keepNext/>
      <w:keepLines/>
      <w:tabs>
        <w:tab w:val="left" w:pos="-720"/>
      </w:tabs>
      <w:suppressAutoHyphens/>
      <w:overflowPunct w:val="0"/>
      <w:autoSpaceDE w:val="0"/>
      <w:autoSpaceDN w:val="0"/>
      <w:adjustRightInd w:val="0"/>
      <w:textAlignment w:val="baseline"/>
    </w:pPr>
    <w:rPr>
      <w:rFonts w:ascii="Palatino" w:hAnsi="Palatino"/>
      <w:sz w:val="23"/>
      <w:lang w:val="en-US" w:eastAsia="en-US"/>
    </w:rPr>
  </w:style>
  <w:style w:type="character" w:customStyle="1" w:styleId="TechInit">
    <w:name w:val="Tech Init"/>
    <w:rsid w:val="004541A9"/>
    <w:rPr>
      <w:rFonts w:ascii="Palatino" w:hAnsi="Palatino"/>
      <w:sz w:val="23"/>
      <w:lang w:val="en-US"/>
    </w:rPr>
  </w:style>
  <w:style w:type="paragraph" w:customStyle="1" w:styleId="Technical5">
    <w:name w:val="Technical 5"/>
    <w:rsid w:val="004541A9"/>
    <w:pPr>
      <w:tabs>
        <w:tab w:val="left" w:pos="-720"/>
      </w:tabs>
      <w:suppressAutoHyphens/>
      <w:overflowPunct w:val="0"/>
      <w:autoSpaceDE w:val="0"/>
      <w:autoSpaceDN w:val="0"/>
      <w:adjustRightInd w:val="0"/>
      <w:ind w:firstLine="720"/>
      <w:textAlignment w:val="baseline"/>
    </w:pPr>
    <w:rPr>
      <w:rFonts w:ascii="Palatino" w:hAnsi="Palatino"/>
      <w:b/>
      <w:sz w:val="23"/>
      <w:lang w:val="en-US" w:eastAsia="en-US"/>
    </w:rPr>
  </w:style>
  <w:style w:type="paragraph" w:customStyle="1" w:styleId="Technical6">
    <w:name w:val="Technical 6"/>
    <w:rsid w:val="004541A9"/>
    <w:pPr>
      <w:tabs>
        <w:tab w:val="left" w:pos="-720"/>
      </w:tabs>
      <w:suppressAutoHyphens/>
      <w:overflowPunct w:val="0"/>
      <w:autoSpaceDE w:val="0"/>
      <w:autoSpaceDN w:val="0"/>
      <w:adjustRightInd w:val="0"/>
      <w:ind w:firstLine="720"/>
      <w:textAlignment w:val="baseline"/>
    </w:pPr>
    <w:rPr>
      <w:rFonts w:ascii="Palatino" w:hAnsi="Palatino"/>
      <w:b/>
      <w:sz w:val="23"/>
      <w:lang w:val="en-US" w:eastAsia="en-US"/>
    </w:rPr>
  </w:style>
  <w:style w:type="character" w:customStyle="1" w:styleId="Technical2">
    <w:name w:val="Technical 2"/>
    <w:rsid w:val="004541A9"/>
    <w:rPr>
      <w:rFonts w:ascii="Palatino" w:hAnsi="Palatino"/>
      <w:sz w:val="23"/>
      <w:lang w:val="en-US"/>
    </w:rPr>
  </w:style>
  <w:style w:type="character" w:customStyle="1" w:styleId="Technical3">
    <w:name w:val="Technical 3"/>
    <w:rsid w:val="004541A9"/>
    <w:rPr>
      <w:rFonts w:ascii="Palatino" w:hAnsi="Palatino"/>
      <w:sz w:val="23"/>
      <w:lang w:val="en-US"/>
    </w:rPr>
  </w:style>
  <w:style w:type="paragraph" w:customStyle="1" w:styleId="Technical4">
    <w:name w:val="Technical 4"/>
    <w:rsid w:val="004541A9"/>
    <w:pPr>
      <w:tabs>
        <w:tab w:val="left" w:pos="-720"/>
      </w:tabs>
      <w:suppressAutoHyphens/>
      <w:overflowPunct w:val="0"/>
      <w:autoSpaceDE w:val="0"/>
      <w:autoSpaceDN w:val="0"/>
      <w:adjustRightInd w:val="0"/>
      <w:textAlignment w:val="baseline"/>
    </w:pPr>
    <w:rPr>
      <w:rFonts w:ascii="Palatino" w:hAnsi="Palatino"/>
      <w:b/>
      <w:sz w:val="23"/>
      <w:lang w:val="en-US" w:eastAsia="en-US"/>
    </w:rPr>
  </w:style>
  <w:style w:type="character" w:customStyle="1" w:styleId="Technical1">
    <w:name w:val="Technical 1"/>
    <w:rsid w:val="004541A9"/>
    <w:rPr>
      <w:rFonts w:ascii="Palatino" w:hAnsi="Palatino"/>
      <w:sz w:val="23"/>
      <w:lang w:val="en-US"/>
    </w:rPr>
  </w:style>
  <w:style w:type="paragraph" w:customStyle="1" w:styleId="Technical7">
    <w:name w:val="Technical 7"/>
    <w:rsid w:val="004541A9"/>
    <w:pPr>
      <w:tabs>
        <w:tab w:val="left" w:pos="-720"/>
      </w:tabs>
      <w:suppressAutoHyphens/>
      <w:overflowPunct w:val="0"/>
      <w:autoSpaceDE w:val="0"/>
      <w:autoSpaceDN w:val="0"/>
      <w:adjustRightInd w:val="0"/>
      <w:ind w:firstLine="720"/>
      <w:textAlignment w:val="baseline"/>
    </w:pPr>
    <w:rPr>
      <w:rFonts w:ascii="Palatino" w:hAnsi="Palatino"/>
      <w:b/>
      <w:sz w:val="23"/>
      <w:lang w:val="en-US" w:eastAsia="en-US"/>
    </w:rPr>
  </w:style>
  <w:style w:type="paragraph" w:customStyle="1" w:styleId="Technical8">
    <w:name w:val="Technical 8"/>
    <w:rsid w:val="004541A9"/>
    <w:pPr>
      <w:tabs>
        <w:tab w:val="left" w:pos="-720"/>
      </w:tabs>
      <w:suppressAutoHyphens/>
      <w:overflowPunct w:val="0"/>
      <w:autoSpaceDE w:val="0"/>
      <w:autoSpaceDN w:val="0"/>
      <w:adjustRightInd w:val="0"/>
      <w:ind w:firstLine="720"/>
      <w:textAlignment w:val="baseline"/>
    </w:pPr>
    <w:rPr>
      <w:rFonts w:ascii="Palatino" w:hAnsi="Palatino"/>
      <w:b/>
      <w:sz w:val="23"/>
      <w:lang w:val="en-US" w:eastAsia="en-US"/>
    </w:rPr>
  </w:style>
  <w:style w:type="character" w:customStyle="1" w:styleId="DocInit">
    <w:name w:val="Doc Init"/>
    <w:rsid w:val="004541A9"/>
    <w:rPr>
      <w:rFonts w:cs="Times New Roman"/>
    </w:rPr>
  </w:style>
  <w:style w:type="paragraph" w:customStyle="1" w:styleId="Legal1">
    <w:name w:val="Legal 1"/>
    <w:rsid w:val="004541A9"/>
    <w:pPr>
      <w:tabs>
        <w:tab w:val="left" w:pos="-720"/>
        <w:tab w:val="left" w:pos="0"/>
      </w:tabs>
      <w:suppressAutoHyphens/>
      <w:overflowPunct w:val="0"/>
      <w:autoSpaceDE w:val="0"/>
      <w:autoSpaceDN w:val="0"/>
      <w:adjustRightInd w:val="0"/>
      <w:ind w:left="720" w:hanging="720"/>
      <w:textAlignment w:val="baseline"/>
    </w:pPr>
    <w:rPr>
      <w:rFonts w:ascii="Palatino" w:hAnsi="Palatino"/>
      <w:sz w:val="23"/>
      <w:lang w:val="en-US" w:eastAsia="en-US"/>
    </w:rPr>
  </w:style>
  <w:style w:type="paragraph" w:customStyle="1" w:styleId="Legal2">
    <w:name w:val="Legal 2"/>
    <w:rsid w:val="004541A9"/>
    <w:pPr>
      <w:tabs>
        <w:tab w:val="left" w:pos="-720"/>
        <w:tab w:val="left" w:pos="0"/>
        <w:tab w:val="left" w:pos="720"/>
      </w:tabs>
      <w:suppressAutoHyphens/>
      <w:overflowPunct w:val="0"/>
      <w:autoSpaceDE w:val="0"/>
      <w:autoSpaceDN w:val="0"/>
      <w:adjustRightInd w:val="0"/>
      <w:ind w:left="1440" w:hanging="1152"/>
      <w:textAlignment w:val="baseline"/>
    </w:pPr>
    <w:rPr>
      <w:rFonts w:ascii="Palatino" w:hAnsi="Palatino"/>
      <w:sz w:val="23"/>
      <w:lang w:val="en-US" w:eastAsia="en-US"/>
    </w:rPr>
  </w:style>
  <w:style w:type="paragraph" w:customStyle="1" w:styleId="Legal3">
    <w:name w:val="Legal 3"/>
    <w:rsid w:val="004541A9"/>
    <w:pPr>
      <w:tabs>
        <w:tab w:val="left" w:pos="-720"/>
        <w:tab w:val="left" w:pos="0"/>
        <w:tab w:val="left" w:pos="720"/>
        <w:tab w:val="left" w:pos="1440"/>
      </w:tabs>
      <w:suppressAutoHyphens/>
      <w:overflowPunct w:val="0"/>
      <w:autoSpaceDE w:val="0"/>
      <w:autoSpaceDN w:val="0"/>
      <w:adjustRightInd w:val="0"/>
      <w:ind w:left="2160" w:hanging="1152"/>
      <w:textAlignment w:val="baseline"/>
    </w:pPr>
    <w:rPr>
      <w:rFonts w:ascii="Palatino" w:hAnsi="Palatino"/>
      <w:sz w:val="23"/>
      <w:lang w:val="en-US" w:eastAsia="en-US"/>
    </w:rPr>
  </w:style>
  <w:style w:type="paragraph" w:customStyle="1" w:styleId="Legal4">
    <w:name w:val="Legal 4"/>
    <w:rsid w:val="004541A9"/>
    <w:pPr>
      <w:tabs>
        <w:tab w:val="left" w:pos="-720"/>
        <w:tab w:val="left" w:pos="0"/>
        <w:tab w:val="left" w:pos="720"/>
        <w:tab w:val="left" w:pos="1440"/>
        <w:tab w:val="left" w:pos="2160"/>
      </w:tabs>
      <w:suppressAutoHyphens/>
      <w:overflowPunct w:val="0"/>
      <w:autoSpaceDE w:val="0"/>
      <w:autoSpaceDN w:val="0"/>
      <w:adjustRightInd w:val="0"/>
      <w:ind w:left="2880" w:hanging="1152"/>
      <w:textAlignment w:val="baseline"/>
    </w:pPr>
    <w:rPr>
      <w:rFonts w:ascii="Palatino" w:hAnsi="Palatino"/>
      <w:sz w:val="23"/>
      <w:lang w:val="en-US" w:eastAsia="en-US"/>
    </w:rPr>
  </w:style>
  <w:style w:type="paragraph" w:customStyle="1" w:styleId="Legal5">
    <w:name w:val="Legal 5"/>
    <w:rsid w:val="004541A9"/>
    <w:pPr>
      <w:tabs>
        <w:tab w:val="left" w:pos="-720"/>
        <w:tab w:val="left" w:pos="0"/>
        <w:tab w:val="left" w:pos="720"/>
        <w:tab w:val="left" w:pos="1440"/>
        <w:tab w:val="left" w:pos="2160"/>
        <w:tab w:val="left" w:pos="2880"/>
      </w:tabs>
      <w:suppressAutoHyphens/>
      <w:overflowPunct w:val="0"/>
      <w:autoSpaceDE w:val="0"/>
      <w:autoSpaceDN w:val="0"/>
      <w:adjustRightInd w:val="0"/>
      <w:ind w:left="3600" w:hanging="1152"/>
      <w:textAlignment w:val="baseline"/>
    </w:pPr>
    <w:rPr>
      <w:rFonts w:ascii="Palatino" w:hAnsi="Palatino"/>
      <w:sz w:val="23"/>
      <w:lang w:val="en-US" w:eastAsia="en-US"/>
    </w:rPr>
  </w:style>
  <w:style w:type="paragraph" w:customStyle="1" w:styleId="Legal6">
    <w:name w:val="Legal 6"/>
    <w:rsid w:val="004541A9"/>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320" w:hanging="1152"/>
      <w:textAlignment w:val="baseline"/>
    </w:pPr>
    <w:rPr>
      <w:rFonts w:ascii="Palatino" w:hAnsi="Palatino"/>
      <w:sz w:val="23"/>
      <w:lang w:val="en-US" w:eastAsia="en-US"/>
    </w:rPr>
  </w:style>
  <w:style w:type="paragraph" w:customStyle="1" w:styleId="Legal7">
    <w:name w:val="Legal 7"/>
    <w:rsid w:val="004541A9"/>
    <w:pPr>
      <w:tabs>
        <w:tab w:val="left" w:pos="-720"/>
        <w:tab w:val="left" w:pos="0"/>
        <w:tab w:val="left" w:pos="720"/>
        <w:tab w:val="left" w:pos="1440"/>
        <w:tab w:val="left" w:pos="2160"/>
        <w:tab w:val="left" w:pos="2880"/>
        <w:tab w:val="left" w:pos="3600"/>
        <w:tab w:val="left" w:pos="4320"/>
      </w:tabs>
      <w:suppressAutoHyphens/>
      <w:overflowPunct w:val="0"/>
      <w:autoSpaceDE w:val="0"/>
      <w:autoSpaceDN w:val="0"/>
      <w:adjustRightInd w:val="0"/>
      <w:ind w:left="5040" w:hanging="1152"/>
      <w:textAlignment w:val="baseline"/>
    </w:pPr>
    <w:rPr>
      <w:rFonts w:ascii="Palatino" w:hAnsi="Palatino"/>
      <w:sz w:val="23"/>
      <w:lang w:val="en-US" w:eastAsia="en-US"/>
    </w:rPr>
  </w:style>
  <w:style w:type="paragraph" w:customStyle="1" w:styleId="Legal8">
    <w:name w:val="Legal 8"/>
    <w:rsid w:val="004541A9"/>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760" w:hanging="1152"/>
      <w:textAlignment w:val="baseline"/>
    </w:pPr>
    <w:rPr>
      <w:rFonts w:ascii="Palatino" w:hAnsi="Palatino"/>
      <w:sz w:val="23"/>
      <w:lang w:val="en-US" w:eastAsia="en-US"/>
    </w:rPr>
  </w:style>
  <w:style w:type="character" w:customStyle="1" w:styleId="a1">
    <w:name w:val="a1"/>
    <w:rsid w:val="004541A9"/>
    <w:rPr>
      <w:rFonts w:ascii="Palatino" w:hAnsi="Palatino"/>
      <w:sz w:val="23"/>
      <w:lang w:val="en-US"/>
    </w:rPr>
  </w:style>
  <w:style w:type="character" w:customStyle="1" w:styleId="a2">
    <w:name w:val="a2"/>
    <w:rsid w:val="004541A9"/>
    <w:rPr>
      <w:rFonts w:ascii="Palatino" w:hAnsi="Palatino"/>
      <w:sz w:val="23"/>
      <w:lang w:val="en-US"/>
    </w:rPr>
  </w:style>
  <w:style w:type="paragraph" w:styleId="TOC1">
    <w:name w:val="toc 1"/>
    <w:basedOn w:val="Normal"/>
    <w:next w:val="Normal"/>
    <w:autoRedefine/>
    <w:semiHidden/>
    <w:rsid w:val="004541A9"/>
    <w:pPr>
      <w:tabs>
        <w:tab w:val="right" w:leader="dot" w:pos="9360"/>
      </w:tabs>
      <w:suppressAutoHyphens/>
      <w:overflowPunct w:val="0"/>
      <w:autoSpaceDE w:val="0"/>
      <w:autoSpaceDN w:val="0"/>
      <w:adjustRightInd w:val="0"/>
      <w:spacing w:before="480"/>
      <w:ind w:left="720" w:right="720" w:hanging="720"/>
      <w:textAlignment w:val="baseline"/>
    </w:pPr>
    <w:rPr>
      <w:rFonts w:ascii="Palatino" w:hAnsi="Palatino"/>
      <w:sz w:val="23"/>
      <w:szCs w:val="20"/>
      <w:lang w:val="en-US" w:eastAsia="en-US"/>
    </w:rPr>
  </w:style>
  <w:style w:type="paragraph" w:styleId="TOC2">
    <w:name w:val="toc 2"/>
    <w:basedOn w:val="Normal"/>
    <w:next w:val="Normal"/>
    <w:autoRedefine/>
    <w:semiHidden/>
    <w:rsid w:val="004541A9"/>
    <w:pPr>
      <w:tabs>
        <w:tab w:val="right" w:leader="dot" w:pos="9360"/>
      </w:tabs>
      <w:suppressAutoHyphens/>
      <w:overflowPunct w:val="0"/>
      <w:autoSpaceDE w:val="0"/>
      <w:autoSpaceDN w:val="0"/>
      <w:adjustRightInd w:val="0"/>
      <w:ind w:left="1440" w:right="720" w:hanging="720"/>
      <w:textAlignment w:val="baseline"/>
    </w:pPr>
    <w:rPr>
      <w:rFonts w:ascii="Palatino" w:hAnsi="Palatino"/>
      <w:sz w:val="23"/>
      <w:szCs w:val="20"/>
      <w:lang w:val="en-US" w:eastAsia="en-US"/>
    </w:rPr>
  </w:style>
  <w:style w:type="paragraph" w:styleId="TOC3">
    <w:name w:val="toc 3"/>
    <w:basedOn w:val="Normal"/>
    <w:next w:val="Normal"/>
    <w:autoRedefine/>
    <w:semiHidden/>
    <w:rsid w:val="004541A9"/>
    <w:pPr>
      <w:tabs>
        <w:tab w:val="right" w:leader="dot" w:pos="9360"/>
      </w:tabs>
      <w:suppressAutoHyphens/>
      <w:overflowPunct w:val="0"/>
      <w:autoSpaceDE w:val="0"/>
      <w:autoSpaceDN w:val="0"/>
      <w:adjustRightInd w:val="0"/>
      <w:ind w:left="2160" w:right="720" w:hanging="720"/>
      <w:textAlignment w:val="baseline"/>
    </w:pPr>
    <w:rPr>
      <w:rFonts w:ascii="Palatino" w:hAnsi="Palatino"/>
      <w:sz w:val="23"/>
      <w:szCs w:val="20"/>
      <w:lang w:val="en-US" w:eastAsia="en-US"/>
    </w:rPr>
  </w:style>
  <w:style w:type="paragraph" w:styleId="TOC4">
    <w:name w:val="toc 4"/>
    <w:basedOn w:val="Normal"/>
    <w:next w:val="Normal"/>
    <w:autoRedefine/>
    <w:semiHidden/>
    <w:rsid w:val="004541A9"/>
    <w:pPr>
      <w:tabs>
        <w:tab w:val="right" w:leader="dot" w:pos="9360"/>
      </w:tabs>
      <w:suppressAutoHyphens/>
      <w:overflowPunct w:val="0"/>
      <w:autoSpaceDE w:val="0"/>
      <w:autoSpaceDN w:val="0"/>
      <w:adjustRightInd w:val="0"/>
      <w:ind w:left="2880" w:right="720" w:hanging="720"/>
      <w:textAlignment w:val="baseline"/>
    </w:pPr>
    <w:rPr>
      <w:rFonts w:ascii="Palatino" w:hAnsi="Palatino"/>
      <w:sz w:val="23"/>
      <w:szCs w:val="20"/>
      <w:lang w:val="en-US" w:eastAsia="en-US"/>
    </w:rPr>
  </w:style>
  <w:style w:type="paragraph" w:styleId="TOC5">
    <w:name w:val="toc 5"/>
    <w:basedOn w:val="Normal"/>
    <w:next w:val="Normal"/>
    <w:autoRedefine/>
    <w:semiHidden/>
    <w:rsid w:val="004541A9"/>
    <w:pPr>
      <w:tabs>
        <w:tab w:val="right" w:leader="dot" w:pos="9360"/>
      </w:tabs>
      <w:suppressAutoHyphens/>
      <w:overflowPunct w:val="0"/>
      <w:autoSpaceDE w:val="0"/>
      <w:autoSpaceDN w:val="0"/>
      <w:adjustRightInd w:val="0"/>
      <w:ind w:left="3600" w:right="720" w:hanging="720"/>
      <w:textAlignment w:val="baseline"/>
    </w:pPr>
    <w:rPr>
      <w:rFonts w:ascii="Palatino" w:hAnsi="Palatino"/>
      <w:sz w:val="23"/>
      <w:szCs w:val="20"/>
      <w:lang w:val="en-US" w:eastAsia="en-US"/>
    </w:rPr>
  </w:style>
  <w:style w:type="paragraph" w:styleId="TOC6">
    <w:name w:val="toc 6"/>
    <w:basedOn w:val="Normal"/>
    <w:next w:val="Normal"/>
    <w:autoRedefine/>
    <w:semiHidden/>
    <w:rsid w:val="004541A9"/>
    <w:pPr>
      <w:tabs>
        <w:tab w:val="right" w:pos="9360"/>
      </w:tabs>
      <w:suppressAutoHyphens/>
      <w:overflowPunct w:val="0"/>
      <w:autoSpaceDE w:val="0"/>
      <w:autoSpaceDN w:val="0"/>
      <w:adjustRightInd w:val="0"/>
      <w:ind w:left="720" w:hanging="720"/>
      <w:textAlignment w:val="baseline"/>
    </w:pPr>
    <w:rPr>
      <w:rFonts w:ascii="Palatino" w:hAnsi="Palatino"/>
      <w:sz w:val="23"/>
      <w:szCs w:val="20"/>
      <w:lang w:val="en-US" w:eastAsia="en-US"/>
    </w:rPr>
  </w:style>
  <w:style w:type="paragraph" w:styleId="TOC7">
    <w:name w:val="toc 7"/>
    <w:basedOn w:val="Normal"/>
    <w:next w:val="Normal"/>
    <w:autoRedefine/>
    <w:semiHidden/>
    <w:rsid w:val="004541A9"/>
    <w:pPr>
      <w:suppressAutoHyphens/>
      <w:overflowPunct w:val="0"/>
      <w:autoSpaceDE w:val="0"/>
      <w:autoSpaceDN w:val="0"/>
      <w:adjustRightInd w:val="0"/>
      <w:ind w:left="720" w:hanging="720"/>
      <w:textAlignment w:val="baseline"/>
    </w:pPr>
    <w:rPr>
      <w:rFonts w:ascii="Palatino" w:hAnsi="Palatino"/>
      <w:sz w:val="23"/>
      <w:szCs w:val="20"/>
      <w:lang w:val="en-US" w:eastAsia="en-US"/>
    </w:rPr>
  </w:style>
  <w:style w:type="paragraph" w:styleId="TOC8">
    <w:name w:val="toc 8"/>
    <w:basedOn w:val="Normal"/>
    <w:next w:val="Normal"/>
    <w:autoRedefine/>
    <w:semiHidden/>
    <w:rsid w:val="004541A9"/>
    <w:pPr>
      <w:tabs>
        <w:tab w:val="right" w:pos="9360"/>
      </w:tabs>
      <w:suppressAutoHyphens/>
      <w:overflowPunct w:val="0"/>
      <w:autoSpaceDE w:val="0"/>
      <w:autoSpaceDN w:val="0"/>
      <w:adjustRightInd w:val="0"/>
      <w:ind w:left="720" w:hanging="720"/>
      <w:textAlignment w:val="baseline"/>
    </w:pPr>
    <w:rPr>
      <w:rFonts w:ascii="Palatino" w:hAnsi="Palatino"/>
      <w:sz w:val="23"/>
      <w:szCs w:val="20"/>
      <w:lang w:val="en-US" w:eastAsia="en-US"/>
    </w:rPr>
  </w:style>
  <w:style w:type="paragraph" w:styleId="TOC9">
    <w:name w:val="toc 9"/>
    <w:basedOn w:val="Normal"/>
    <w:next w:val="Normal"/>
    <w:autoRedefine/>
    <w:semiHidden/>
    <w:rsid w:val="004541A9"/>
    <w:pPr>
      <w:tabs>
        <w:tab w:val="right" w:leader="dot" w:pos="9360"/>
      </w:tabs>
      <w:suppressAutoHyphens/>
      <w:overflowPunct w:val="0"/>
      <w:autoSpaceDE w:val="0"/>
      <w:autoSpaceDN w:val="0"/>
      <w:adjustRightInd w:val="0"/>
      <w:ind w:left="720" w:hanging="720"/>
      <w:textAlignment w:val="baseline"/>
    </w:pPr>
    <w:rPr>
      <w:rFonts w:ascii="Palatino" w:hAnsi="Palatino"/>
      <w:sz w:val="23"/>
      <w:szCs w:val="20"/>
      <w:lang w:val="en-US" w:eastAsia="en-US"/>
    </w:rPr>
  </w:style>
  <w:style w:type="paragraph" w:styleId="Index1">
    <w:name w:val="index 1"/>
    <w:basedOn w:val="Normal"/>
    <w:next w:val="Normal"/>
    <w:autoRedefine/>
    <w:semiHidden/>
    <w:rsid w:val="004541A9"/>
    <w:pPr>
      <w:tabs>
        <w:tab w:val="right" w:leader="dot" w:pos="9360"/>
      </w:tabs>
      <w:suppressAutoHyphens/>
      <w:overflowPunct w:val="0"/>
      <w:autoSpaceDE w:val="0"/>
      <w:autoSpaceDN w:val="0"/>
      <w:adjustRightInd w:val="0"/>
      <w:ind w:left="1440" w:right="720" w:hanging="1440"/>
      <w:textAlignment w:val="baseline"/>
    </w:pPr>
    <w:rPr>
      <w:rFonts w:ascii="Palatino" w:hAnsi="Palatino"/>
      <w:sz w:val="23"/>
      <w:szCs w:val="20"/>
      <w:lang w:val="en-US" w:eastAsia="en-US"/>
    </w:rPr>
  </w:style>
  <w:style w:type="paragraph" w:styleId="Index2">
    <w:name w:val="index 2"/>
    <w:basedOn w:val="Normal"/>
    <w:next w:val="Normal"/>
    <w:autoRedefine/>
    <w:semiHidden/>
    <w:rsid w:val="004541A9"/>
    <w:pPr>
      <w:tabs>
        <w:tab w:val="right" w:leader="dot" w:pos="9360"/>
      </w:tabs>
      <w:suppressAutoHyphens/>
      <w:overflowPunct w:val="0"/>
      <w:autoSpaceDE w:val="0"/>
      <w:autoSpaceDN w:val="0"/>
      <w:adjustRightInd w:val="0"/>
      <w:ind w:left="1440" w:right="720" w:hanging="720"/>
      <w:textAlignment w:val="baseline"/>
    </w:pPr>
    <w:rPr>
      <w:rFonts w:ascii="Palatino" w:hAnsi="Palatino"/>
      <w:sz w:val="23"/>
      <w:szCs w:val="20"/>
      <w:lang w:val="en-US" w:eastAsia="en-US"/>
    </w:rPr>
  </w:style>
  <w:style w:type="paragraph" w:styleId="TOAHeading">
    <w:name w:val="toa heading"/>
    <w:basedOn w:val="Normal"/>
    <w:next w:val="Normal"/>
    <w:semiHidden/>
    <w:rsid w:val="004541A9"/>
    <w:pPr>
      <w:tabs>
        <w:tab w:val="right" w:pos="9360"/>
      </w:tabs>
      <w:suppressAutoHyphens/>
      <w:overflowPunct w:val="0"/>
      <w:autoSpaceDE w:val="0"/>
      <w:autoSpaceDN w:val="0"/>
      <w:adjustRightInd w:val="0"/>
      <w:textAlignment w:val="baseline"/>
    </w:pPr>
    <w:rPr>
      <w:rFonts w:ascii="Palatino" w:hAnsi="Palatino"/>
      <w:sz w:val="23"/>
      <w:szCs w:val="20"/>
      <w:lang w:val="en-US" w:eastAsia="en-US"/>
    </w:rPr>
  </w:style>
  <w:style w:type="paragraph" w:styleId="Caption">
    <w:name w:val="caption"/>
    <w:basedOn w:val="Normal"/>
    <w:next w:val="Normal"/>
    <w:qFormat/>
    <w:rsid w:val="004541A9"/>
    <w:pPr>
      <w:overflowPunct w:val="0"/>
      <w:autoSpaceDE w:val="0"/>
      <w:autoSpaceDN w:val="0"/>
      <w:adjustRightInd w:val="0"/>
      <w:textAlignment w:val="baseline"/>
    </w:pPr>
    <w:rPr>
      <w:rFonts w:ascii="Palatino" w:hAnsi="Palatino"/>
      <w:szCs w:val="20"/>
      <w:lang w:eastAsia="en-US"/>
    </w:rPr>
  </w:style>
  <w:style w:type="character" w:customStyle="1" w:styleId="EquationCaption">
    <w:name w:val="_Equation Caption"/>
    <w:rsid w:val="004541A9"/>
  </w:style>
  <w:style w:type="character" w:styleId="PageNumber">
    <w:name w:val="page number"/>
    <w:semiHidden/>
    <w:rsid w:val="004541A9"/>
    <w:rPr>
      <w:rFonts w:cs="Times New Roman"/>
    </w:rPr>
  </w:style>
  <w:style w:type="paragraph" w:styleId="BalloonText">
    <w:name w:val="Balloon Text"/>
    <w:basedOn w:val="Normal"/>
    <w:semiHidden/>
    <w:rsid w:val="004541A9"/>
    <w:pPr>
      <w:overflowPunct w:val="0"/>
      <w:autoSpaceDE w:val="0"/>
      <w:autoSpaceDN w:val="0"/>
      <w:adjustRightInd w:val="0"/>
      <w:textAlignment w:val="baseline"/>
    </w:pPr>
    <w:rPr>
      <w:rFonts w:ascii="Tahoma" w:hAnsi="Tahoma" w:cs="Tahoma"/>
      <w:sz w:val="16"/>
      <w:szCs w:val="16"/>
      <w:lang w:eastAsia="en-US"/>
    </w:rPr>
  </w:style>
  <w:style w:type="paragraph" w:styleId="NormalWeb">
    <w:name w:val="Normal (Web)"/>
    <w:basedOn w:val="Normal"/>
    <w:uiPriority w:val="99"/>
    <w:semiHidden/>
    <w:rsid w:val="004541A9"/>
    <w:pPr>
      <w:spacing w:before="100" w:beforeAutospacing="1" w:after="100" w:afterAutospacing="1"/>
      <w:ind w:left="150"/>
    </w:pPr>
    <w:rPr>
      <w:rFonts w:ascii="Verdana" w:eastAsia="Arial Unicode MS" w:hAnsi="Verdana" w:cs="Arial Unicode MS"/>
      <w:sz w:val="19"/>
      <w:szCs w:val="19"/>
      <w:lang w:eastAsia="en-US"/>
    </w:rPr>
  </w:style>
  <w:style w:type="character" w:styleId="Hyperlink">
    <w:name w:val="Hyperlink"/>
    <w:semiHidden/>
    <w:rsid w:val="004541A9"/>
    <w:rPr>
      <w:color w:val="0000FF"/>
      <w:u w:val="none"/>
      <w:effect w:val="none"/>
    </w:rPr>
  </w:style>
  <w:style w:type="paragraph" w:customStyle="1" w:styleId="indent10">
    <w:name w:val="indent10"/>
    <w:basedOn w:val="Normal"/>
    <w:rsid w:val="004541A9"/>
    <w:pPr>
      <w:spacing w:before="100" w:beforeAutospacing="1" w:after="100" w:afterAutospacing="1"/>
      <w:ind w:left="750" w:hanging="375"/>
    </w:pPr>
    <w:rPr>
      <w:rFonts w:ascii="Verdana" w:eastAsia="Arial Unicode MS" w:hAnsi="Verdana" w:cs="Arial Unicode MS"/>
      <w:sz w:val="19"/>
      <w:szCs w:val="19"/>
      <w:lang w:eastAsia="en-US"/>
    </w:rPr>
  </w:style>
  <w:style w:type="table" w:styleId="TableGrid">
    <w:name w:val="Table Grid"/>
    <w:basedOn w:val="TableNormal"/>
    <w:uiPriority w:val="39"/>
    <w:rsid w:val="001C7E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0926D9"/>
    <w:rPr>
      <w:sz w:val="16"/>
    </w:rPr>
  </w:style>
  <w:style w:type="paragraph" w:styleId="CommentText">
    <w:name w:val="annotation text"/>
    <w:basedOn w:val="Normal"/>
    <w:link w:val="CommentTextChar"/>
    <w:uiPriority w:val="99"/>
    <w:rsid w:val="000926D9"/>
    <w:pPr>
      <w:overflowPunct w:val="0"/>
      <w:autoSpaceDE w:val="0"/>
      <w:autoSpaceDN w:val="0"/>
      <w:adjustRightInd w:val="0"/>
      <w:textAlignment w:val="baseline"/>
    </w:pPr>
    <w:rPr>
      <w:rFonts w:ascii="Palatino" w:hAnsi="Palatino"/>
      <w:sz w:val="20"/>
      <w:szCs w:val="20"/>
      <w:lang w:eastAsia="en-US"/>
    </w:rPr>
  </w:style>
  <w:style w:type="character" w:customStyle="1" w:styleId="CommentTextChar">
    <w:name w:val="Comment Text Char"/>
    <w:link w:val="CommentText"/>
    <w:uiPriority w:val="99"/>
    <w:locked/>
    <w:rsid w:val="000926D9"/>
    <w:rPr>
      <w:rFonts w:ascii="Palatino" w:hAnsi="Palatino"/>
      <w:lang w:val="en-GB"/>
    </w:rPr>
  </w:style>
  <w:style w:type="paragraph" w:styleId="CommentSubject">
    <w:name w:val="annotation subject"/>
    <w:basedOn w:val="CommentText"/>
    <w:next w:val="CommentText"/>
    <w:link w:val="CommentSubjectChar"/>
    <w:semiHidden/>
    <w:rsid w:val="000926D9"/>
    <w:rPr>
      <w:b/>
    </w:rPr>
  </w:style>
  <w:style w:type="character" w:customStyle="1" w:styleId="CommentSubjectChar">
    <w:name w:val="Comment Subject Char"/>
    <w:link w:val="CommentSubject"/>
    <w:semiHidden/>
    <w:locked/>
    <w:rsid w:val="000926D9"/>
    <w:rPr>
      <w:rFonts w:ascii="Palatino" w:hAnsi="Palatino"/>
      <w:b/>
      <w:lang w:val="en-GB"/>
    </w:rPr>
  </w:style>
  <w:style w:type="paragraph" w:customStyle="1" w:styleId="TableText">
    <w:name w:val="Table Text"/>
    <w:rsid w:val="00191E56"/>
    <w:pPr>
      <w:widowControl w:val="0"/>
    </w:pPr>
    <w:rPr>
      <w:color w:val="000000"/>
      <w:sz w:val="24"/>
      <w:szCs w:val="24"/>
      <w:lang w:val="en-US" w:eastAsia="en-US"/>
    </w:rPr>
  </w:style>
  <w:style w:type="character" w:styleId="FollowedHyperlink">
    <w:name w:val="FollowedHyperlink"/>
    <w:uiPriority w:val="99"/>
    <w:semiHidden/>
    <w:unhideWhenUsed/>
    <w:rsid w:val="00076CD6"/>
    <w:rPr>
      <w:color w:val="800080"/>
      <w:u w:val="single"/>
    </w:rPr>
  </w:style>
  <w:style w:type="paragraph" w:styleId="ListParagraph">
    <w:name w:val="List Paragraph"/>
    <w:basedOn w:val="Normal"/>
    <w:uiPriority w:val="34"/>
    <w:qFormat/>
    <w:rsid w:val="0059498E"/>
    <w:pPr>
      <w:overflowPunct w:val="0"/>
      <w:autoSpaceDE w:val="0"/>
      <w:autoSpaceDN w:val="0"/>
      <w:adjustRightInd w:val="0"/>
      <w:ind w:left="720"/>
      <w:contextualSpacing/>
      <w:textAlignment w:val="baseline"/>
    </w:pPr>
    <w:rPr>
      <w:rFonts w:ascii="Palatino" w:hAnsi="Palatino"/>
      <w:sz w:val="23"/>
      <w:szCs w:val="20"/>
      <w:lang w:eastAsia="en-US"/>
    </w:rPr>
  </w:style>
  <w:style w:type="paragraph" w:customStyle="1" w:styleId="ParaIMS">
    <w:name w:val="Para/IMS"/>
    <w:basedOn w:val="Normal"/>
    <w:uiPriority w:val="99"/>
    <w:rsid w:val="00E341BA"/>
    <w:pPr>
      <w:spacing w:before="160"/>
    </w:pPr>
    <w:rPr>
      <w:sz w:val="20"/>
      <w:szCs w:val="20"/>
      <w:lang w:val="en-US" w:eastAsia="en-US"/>
    </w:rPr>
  </w:style>
  <w:style w:type="paragraph" w:customStyle="1" w:styleId="LstRomanIMS">
    <w:name w:val="LstRoman/IMS"/>
    <w:basedOn w:val="Normal"/>
    <w:rsid w:val="00E341BA"/>
    <w:pPr>
      <w:spacing w:before="120"/>
      <w:ind w:left="518" w:hanging="518"/>
    </w:pPr>
    <w:rPr>
      <w:sz w:val="20"/>
      <w:szCs w:val="20"/>
      <w:lang w:val="en-US" w:eastAsia="en-US"/>
    </w:rPr>
  </w:style>
  <w:style w:type="paragraph" w:styleId="Revision">
    <w:name w:val="Revision"/>
    <w:hidden/>
    <w:uiPriority w:val="99"/>
    <w:semiHidden/>
    <w:rsid w:val="00F0014E"/>
    <w:rPr>
      <w:rFonts w:ascii="Palatino" w:hAnsi="Palatino"/>
      <w:sz w:val="23"/>
      <w:lang w:eastAsia="en-US"/>
    </w:rPr>
  </w:style>
  <w:style w:type="paragraph" w:customStyle="1" w:styleId="StyleLatinCalibriBefore6ptAfter6pt">
    <w:name w:val="Style (Latin) Calibri Before:  6 pt After:  6 pt"/>
    <w:basedOn w:val="Normal"/>
    <w:uiPriority w:val="99"/>
    <w:rsid w:val="00372DC1"/>
    <w:pPr>
      <w:spacing w:before="120" w:after="120"/>
    </w:pPr>
    <w:rPr>
      <w:rFonts w:ascii="Calibri" w:eastAsia="MS Mincho" w:hAnsi="Calibri"/>
      <w:szCs w:val="20"/>
      <w:lang w:eastAsia="en-US"/>
    </w:rPr>
  </w:style>
  <w:style w:type="paragraph" w:customStyle="1" w:styleId="bd">
    <w:name w:val="bd"/>
    <w:basedOn w:val="Normal"/>
    <w:rsid w:val="00766060"/>
    <w:pPr>
      <w:spacing w:before="100" w:beforeAutospacing="1" w:after="100" w:afterAutospacing="1"/>
    </w:pPr>
  </w:style>
  <w:style w:type="character" w:customStyle="1" w:styleId="av">
    <w:name w:val="av"/>
    <w:basedOn w:val="DefaultParagraphFont"/>
    <w:rsid w:val="00766060"/>
  </w:style>
  <w:style w:type="character" w:customStyle="1" w:styleId="apple-converted-space">
    <w:name w:val="apple-converted-space"/>
    <w:basedOn w:val="DefaultParagraphFont"/>
    <w:rsid w:val="00766060"/>
  </w:style>
  <w:style w:type="character" w:customStyle="1" w:styleId="ao">
    <w:name w:val="ao"/>
    <w:basedOn w:val="DefaultParagraphFont"/>
    <w:rsid w:val="00766060"/>
  </w:style>
  <w:style w:type="character" w:customStyle="1" w:styleId="an">
    <w:name w:val="an"/>
    <w:basedOn w:val="DefaultParagraphFont"/>
    <w:rsid w:val="00766060"/>
  </w:style>
  <w:style w:type="paragraph" w:customStyle="1" w:styleId="bf">
    <w:name w:val="bf"/>
    <w:basedOn w:val="Normal"/>
    <w:rsid w:val="00766060"/>
    <w:pPr>
      <w:spacing w:before="100" w:beforeAutospacing="1" w:after="100" w:afterAutospacing="1"/>
    </w:pPr>
  </w:style>
  <w:style w:type="character" w:customStyle="1" w:styleId="am">
    <w:name w:val="am"/>
    <w:basedOn w:val="DefaultParagraphFont"/>
    <w:rsid w:val="00766060"/>
  </w:style>
  <w:style w:type="character" w:customStyle="1" w:styleId="al">
    <w:name w:val="al"/>
    <w:basedOn w:val="DefaultParagraphFont"/>
    <w:rsid w:val="00766060"/>
  </w:style>
  <w:style w:type="paragraph" w:customStyle="1" w:styleId="bg">
    <w:name w:val="bg"/>
    <w:basedOn w:val="Normal"/>
    <w:rsid w:val="00766060"/>
    <w:pPr>
      <w:spacing w:before="100" w:beforeAutospacing="1" w:after="100" w:afterAutospacing="1"/>
    </w:pPr>
  </w:style>
  <w:style w:type="paragraph" w:customStyle="1" w:styleId="bh">
    <w:name w:val="bh"/>
    <w:basedOn w:val="Normal"/>
    <w:rsid w:val="00766060"/>
    <w:pPr>
      <w:spacing w:before="100" w:beforeAutospacing="1" w:after="100" w:afterAutospacing="1"/>
    </w:pPr>
  </w:style>
  <w:style w:type="paragraph" w:customStyle="1" w:styleId="de">
    <w:name w:val="de"/>
    <w:basedOn w:val="Normal"/>
    <w:rsid w:val="00A03310"/>
    <w:pPr>
      <w:spacing w:before="100" w:beforeAutospacing="1" w:after="100" w:afterAutospacing="1"/>
    </w:pPr>
  </w:style>
  <w:style w:type="character" w:customStyle="1" w:styleId="bu">
    <w:name w:val="bu"/>
    <w:basedOn w:val="DefaultParagraphFont"/>
    <w:rsid w:val="00A03310"/>
  </w:style>
  <w:style w:type="paragraph" w:customStyle="1" w:styleId="df">
    <w:name w:val="df"/>
    <w:basedOn w:val="Normal"/>
    <w:rsid w:val="00A03310"/>
    <w:pPr>
      <w:spacing w:before="100" w:beforeAutospacing="1" w:after="100" w:afterAutospacing="1"/>
    </w:pPr>
  </w:style>
  <w:style w:type="character" w:customStyle="1" w:styleId="bs">
    <w:name w:val="bs"/>
    <w:basedOn w:val="DefaultParagraphFont"/>
    <w:rsid w:val="00A03310"/>
  </w:style>
  <w:style w:type="paragraph" w:customStyle="1" w:styleId="cr">
    <w:name w:val="cr"/>
    <w:basedOn w:val="Normal"/>
    <w:rsid w:val="00A03310"/>
    <w:pPr>
      <w:spacing w:before="100" w:beforeAutospacing="1" w:after="100" w:afterAutospacing="1"/>
    </w:pPr>
  </w:style>
  <w:style w:type="character" w:customStyle="1" w:styleId="cl">
    <w:name w:val="cl"/>
    <w:basedOn w:val="DefaultParagraphFont"/>
    <w:rsid w:val="00A03310"/>
  </w:style>
  <w:style w:type="paragraph" w:customStyle="1" w:styleId="cq">
    <w:name w:val="cq"/>
    <w:basedOn w:val="Normal"/>
    <w:rsid w:val="00A03310"/>
    <w:pPr>
      <w:spacing w:before="100" w:beforeAutospacing="1" w:after="100" w:afterAutospacing="1"/>
    </w:pPr>
  </w:style>
  <w:style w:type="paragraph" w:customStyle="1" w:styleId="cp">
    <w:name w:val="cp"/>
    <w:basedOn w:val="Normal"/>
    <w:rsid w:val="00A03310"/>
    <w:pPr>
      <w:spacing w:before="100" w:beforeAutospacing="1" w:after="100" w:afterAutospacing="1"/>
    </w:pPr>
  </w:style>
  <w:style w:type="paragraph" w:customStyle="1" w:styleId="cn">
    <w:name w:val="cn"/>
    <w:basedOn w:val="Normal"/>
    <w:rsid w:val="00A03310"/>
    <w:pPr>
      <w:spacing w:before="100" w:beforeAutospacing="1" w:after="100" w:afterAutospacing="1"/>
    </w:pPr>
  </w:style>
  <w:style w:type="paragraph" w:customStyle="1" w:styleId="paragraph">
    <w:name w:val="paragraph"/>
    <w:basedOn w:val="Normal"/>
    <w:rsid w:val="00EC2BA1"/>
    <w:pPr>
      <w:spacing w:before="100" w:beforeAutospacing="1" w:after="100" w:afterAutospacing="1"/>
    </w:pPr>
  </w:style>
  <w:style w:type="character" w:customStyle="1" w:styleId="normaltextrun">
    <w:name w:val="normaltextrun"/>
    <w:basedOn w:val="DefaultParagraphFont"/>
    <w:rsid w:val="00EC2BA1"/>
  </w:style>
  <w:style w:type="character" w:customStyle="1" w:styleId="eop">
    <w:name w:val="eop"/>
    <w:basedOn w:val="DefaultParagraphFont"/>
    <w:rsid w:val="00EC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017">
      <w:bodyDiv w:val="1"/>
      <w:marLeft w:val="0"/>
      <w:marRight w:val="0"/>
      <w:marTop w:val="0"/>
      <w:marBottom w:val="0"/>
      <w:divBdr>
        <w:top w:val="none" w:sz="0" w:space="0" w:color="auto"/>
        <w:left w:val="none" w:sz="0" w:space="0" w:color="auto"/>
        <w:bottom w:val="none" w:sz="0" w:space="0" w:color="auto"/>
        <w:right w:val="none" w:sz="0" w:space="0" w:color="auto"/>
      </w:divBdr>
    </w:div>
    <w:div w:id="29694621">
      <w:bodyDiv w:val="1"/>
      <w:marLeft w:val="0"/>
      <w:marRight w:val="0"/>
      <w:marTop w:val="0"/>
      <w:marBottom w:val="0"/>
      <w:divBdr>
        <w:top w:val="none" w:sz="0" w:space="0" w:color="auto"/>
        <w:left w:val="none" w:sz="0" w:space="0" w:color="auto"/>
        <w:bottom w:val="none" w:sz="0" w:space="0" w:color="auto"/>
        <w:right w:val="none" w:sz="0" w:space="0" w:color="auto"/>
      </w:divBdr>
    </w:div>
    <w:div w:id="167985917">
      <w:bodyDiv w:val="1"/>
      <w:marLeft w:val="0"/>
      <w:marRight w:val="0"/>
      <w:marTop w:val="0"/>
      <w:marBottom w:val="0"/>
      <w:divBdr>
        <w:top w:val="none" w:sz="0" w:space="0" w:color="auto"/>
        <w:left w:val="none" w:sz="0" w:space="0" w:color="auto"/>
        <w:bottom w:val="none" w:sz="0" w:space="0" w:color="auto"/>
        <w:right w:val="none" w:sz="0" w:space="0" w:color="auto"/>
      </w:divBdr>
    </w:div>
    <w:div w:id="249697816">
      <w:bodyDiv w:val="1"/>
      <w:marLeft w:val="0"/>
      <w:marRight w:val="0"/>
      <w:marTop w:val="0"/>
      <w:marBottom w:val="0"/>
      <w:divBdr>
        <w:top w:val="none" w:sz="0" w:space="0" w:color="auto"/>
        <w:left w:val="none" w:sz="0" w:space="0" w:color="auto"/>
        <w:bottom w:val="none" w:sz="0" w:space="0" w:color="auto"/>
        <w:right w:val="none" w:sz="0" w:space="0" w:color="auto"/>
      </w:divBdr>
    </w:div>
    <w:div w:id="283930691">
      <w:bodyDiv w:val="1"/>
      <w:marLeft w:val="0"/>
      <w:marRight w:val="0"/>
      <w:marTop w:val="0"/>
      <w:marBottom w:val="0"/>
      <w:divBdr>
        <w:top w:val="none" w:sz="0" w:space="0" w:color="auto"/>
        <w:left w:val="none" w:sz="0" w:space="0" w:color="auto"/>
        <w:bottom w:val="none" w:sz="0" w:space="0" w:color="auto"/>
        <w:right w:val="none" w:sz="0" w:space="0" w:color="auto"/>
      </w:divBdr>
    </w:div>
    <w:div w:id="299963523">
      <w:bodyDiv w:val="1"/>
      <w:marLeft w:val="0"/>
      <w:marRight w:val="0"/>
      <w:marTop w:val="0"/>
      <w:marBottom w:val="0"/>
      <w:divBdr>
        <w:top w:val="none" w:sz="0" w:space="0" w:color="auto"/>
        <w:left w:val="none" w:sz="0" w:space="0" w:color="auto"/>
        <w:bottom w:val="none" w:sz="0" w:space="0" w:color="auto"/>
        <w:right w:val="none" w:sz="0" w:space="0" w:color="auto"/>
      </w:divBdr>
    </w:div>
    <w:div w:id="340668161">
      <w:bodyDiv w:val="1"/>
      <w:marLeft w:val="0"/>
      <w:marRight w:val="0"/>
      <w:marTop w:val="0"/>
      <w:marBottom w:val="0"/>
      <w:divBdr>
        <w:top w:val="none" w:sz="0" w:space="0" w:color="auto"/>
        <w:left w:val="none" w:sz="0" w:space="0" w:color="auto"/>
        <w:bottom w:val="none" w:sz="0" w:space="0" w:color="auto"/>
        <w:right w:val="none" w:sz="0" w:space="0" w:color="auto"/>
      </w:divBdr>
    </w:div>
    <w:div w:id="436142682">
      <w:bodyDiv w:val="1"/>
      <w:marLeft w:val="0"/>
      <w:marRight w:val="0"/>
      <w:marTop w:val="0"/>
      <w:marBottom w:val="0"/>
      <w:divBdr>
        <w:top w:val="none" w:sz="0" w:space="0" w:color="auto"/>
        <w:left w:val="none" w:sz="0" w:space="0" w:color="auto"/>
        <w:bottom w:val="none" w:sz="0" w:space="0" w:color="auto"/>
        <w:right w:val="none" w:sz="0" w:space="0" w:color="auto"/>
      </w:divBdr>
      <w:divsChild>
        <w:div w:id="1082681419">
          <w:marLeft w:val="0"/>
          <w:marRight w:val="0"/>
          <w:marTop w:val="0"/>
          <w:marBottom w:val="0"/>
          <w:divBdr>
            <w:top w:val="none" w:sz="0" w:space="0" w:color="auto"/>
            <w:left w:val="none" w:sz="0" w:space="0" w:color="auto"/>
            <w:bottom w:val="none" w:sz="0" w:space="0" w:color="auto"/>
            <w:right w:val="none" w:sz="0" w:space="0" w:color="auto"/>
          </w:divBdr>
        </w:div>
        <w:div w:id="969360086">
          <w:marLeft w:val="0"/>
          <w:marRight w:val="0"/>
          <w:marTop w:val="0"/>
          <w:marBottom w:val="0"/>
          <w:divBdr>
            <w:top w:val="none" w:sz="0" w:space="0" w:color="auto"/>
            <w:left w:val="none" w:sz="0" w:space="0" w:color="auto"/>
            <w:bottom w:val="none" w:sz="0" w:space="0" w:color="auto"/>
            <w:right w:val="none" w:sz="0" w:space="0" w:color="auto"/>
          </w:divBdr>
        </w:div>
        <w:div w:id="398943118">
          <w:marLeft w:val="0"/>
          <w:marRight w:val="0"/>
          <w:marTop w:val="0"/>
          <w:marBottom w:val="0"/>
          <w:divBdr>
            <w:top w:val="none" w:sz="0" w:space="0" w:color="auto"/>
            <w:left w:val="none" w:sz="0" w:space="0" w:color="auto"/>
            <w:bottom w:val="none" w:sz="0" w:space="0" w:color="auto"/>
            <w:right w:val="none" w:sz="0" w:space="0" w:color="auto"/>
          </w:divBdr>
        </w:div>
        <w:div w:id="1497112970">
          <w:marLeft w:val="0"/>
          <w:marRight w:val="0"/>
          <w:marTop w:val="0"/>
          <w:marBottom w:val="0"/>
          <w:divBdr>
            <w:top w:val="none" w:sz="0" w:space="0" w:color="auto"/>
            <w:left w:val="none" w:sz="0" w:space="0" w:color="auto"/>
            <w:bottom w:val="none" w:sz="0" w:space="0" w:color="auto"/>
            <w:right w:val="none" w:sz="0" w:space="0" w:color="auto"/>
          </w:divBdr>
        </w:div>
        <w:div w:id="179665590">
          <w:marLeft w:val="0"/>
          <w:marRight w:val="0"/>
          <w:marTop w:val="0"/>
          <w:marBottom w:val="0"/>
          <w:divBdr>
            <w:top w:val="none" w:sz="0" w:space="0" w:color="auto"/>
            <w:left w:val="none" w:sz="0" w:space="0" w:color="auto"/>
            <w:bottom w:val="none" w:sz="0" w:space="0" w:color="auto"/>
            <w:right w:val="none" w:sz="0" w:space="0" w:color="auto"/>
          </w:divBdr>
          <w:divsChild>
            <w:div w:id="1073241071">
              <w:marLeft w:val="-75"/>
              <w:marRight w:val="0"/>
              <w:marTop w:val="30"/>
              <w:marBottom w:val="30"/>
              <w:divBdr>
                <w:top w:val="none" w:sz="0" w:space="0" w:color="auto"/>
                <w:left w:val="none" w:sz="0" w:space="0" w:color="auto"/>
                <w:bottom w:val="none" w:sz="0" w:space="0" w:color="auto"/>
                <w:right w:val="none" w:sz="0" w:space="0" w:color="auto"/>
              </w:divBdr>
              <w:divsChild>
                <w:div w:id="1954630977">
                  <w:marLeft w:val="0"/>
                  <w:marRight w:val="0"/>
                  <w:marTop w:val="0"/>
                  <w:marBottom w:val="0"/>
                  <w:divBdr>
                    <w:top w:val="none" w:sz="0" w:space="0" w:color="auto"/>
                    <w:left w:val="none" w:sz="0" w:space="0" w:color="auto"/>
                    <w:bottom w:val="none" w:sz="0" w:space="0" w:color="auto"/>
                    <w:right w:val="none" w:sz="0" w:space="0" w:color="auto"/>
                  </w:divBdr>
                  <w:divsChild>
                    <w:div w:id="977802748">
                      <w:marLeft w:val="0"/>
                      <w:marRight w:val="0"/>
                      <w:marTop w:val="0"/>
                      <w:marBottom w:val="0"/>
                      <w:divBdr>
                        <w:top w:val="none" w:sz="0" w:space="0" w:color="auto"/>
                        <w:left w:val="none" w:sz="0" w:space="0" w:color="auto"/>
                        <w:bottom w:val="none" w:sz="0" w:space="0" w:color="auto"/>
                        <w:right w:val="none" w:sz="0" w:space="0" w:color="auto"/>
                      </w:divBdr>
                    </w:div>
                  </w:divsChild>
                </w:div>
                <w:div w:id="437649599">
                  <w:marLeft w:val="0"/>
                  <w:marRight w:val="0"/>
                  <w:marTop w:val="0"/>
                  <w:marBottom w:val="0"/>
                  <w:divBdr>
                    <w:top w:val="none" w:sz="0" w:space="0" w:color="auto"/>
                    <w:left w:val="none" w:sz="0" w:space="0" w:color="auto"/>
                    <w:bottom w:val="none" w:sz="0" w:space="0" w:color="auto"/>
                    <w:right w:val="none" w:sz="0" w:space="0" w:color="auto"/>
                  </w:divBdr>
                  <w:divsChild>
                    <w:div w:id="1360276951">
                      <w:marLeft w:val="0"/>
                      <w:marRight w:val="0"/>
                      <w:marTop w:val="0"/>
                      <w:marBottom w:val="0"/>
                      <w:divBdr>
                        <w:top w:val="none" w:sz="0" w:space="0" w:color="auto"/>
                        <w:left w:val="none" w:sz="0" w:space="0" w:color="auto"/>
                        <w:bottom w:val="none" w:sz="0" w:space="0" w:color="auto"/>
                        <w:right w:val="none" w:sz="0" w:space="0" w:color="auto"/>
                      </w:divBdr>
                    </w:div>
                  </w:divsChild>
                </w:div>
                <w:div w:id="1066102171">
                  <w:marLeft w:val="0"/>
                  <w:marRight w:val="0"/>
                  <w:marTop w:val="0"/>
                  <w:marBottom w:val="0"/>
                  <w:divBdr>
                    <w:top w:val="none" w:sz="0" w:space="0" w:color="auto"/>
                    <w:left w:val="none" w:sz="0" w:space="0" w:color="auto"/>
                    <w:bottom w:val="none" w:sz="0" w:space="0" w:color="auto"/>
                    <w:right w:val="none" w:sz="0" w:space="0" w:color="auto"/>
                  </w:divBdr>
                  <w:divsChild>
                    <w:div w:id="839393828">
                      <w:marLeft w:val="0"/>
                      <w:marRight w:val="0"/>
                      <w:marTop w:val="0"/>
                      <w:marBottom w:val="0"/>
                      <w:divBdr>
                        <w:top w:val="none" w:sz="0" w:space="0" w:color="auto"/>
                        <w:left w:val="none" w:sz="0" w:space="0" w:color="auto"/>
                        <w:bottom w:val="none" w:sz="0" w:space="0" w:color="auto"/>
                        <w:right w:val="none" w:sz="0" w:space="0" w:color="auto"/>
                      </w:divBdr>
                    </w:div>
                  </w:divsChild>
                </w:div>
                <w:div w:id="45183736">
                  <w:marLeft w:val="0"/>
                  <w:marRight w:val="0"/>
                  <w:marTop w:val="0"/>
                  <w:marBottom w:val="0"/>
                  <w:divBdr>
                    <w:top w:val="none" w:sz="0" w:space="0" w:color="auto"/>
                    <w:left w:val="none" w:sz="0" w:space="0" w:color="auto"/>
                    <w:bottom w:val="none" w:sz="0" w:space="0" w:color="auto"/>
                    <w:right w:val="none" w:sz="0" w:space="0" w:color="auto"/>
                  </w:divBdr>
                  <w:divsChild>
                    <w:div w:id="239489230">
                      <w:marLeft w:val="0"/>
                      <w:marRight w:val="0"/>
                      <w:marTop w:val="0"/>
                      <w:marBottom w:val="0"/>
                      <w:divBdr>
                        <w:top w:val="none" w:sz="0" w:space="0" w:color="auto"/>
                        <w:left w:val="none" w:sz="0" w:space="0" w:color="auto"/>
                        <w:bottom w:val="none" w:sz="0" w:space="0" w:color="auto"/>
                        <w:right w:val="none" w:sz="0" w:space="0" w:color="auto"/>
                      </w:divBdr>
                    </w:div>
                  </w:divsChild>
                </w:div>
                <w:div w:id="1790657845">
                  <w:marLeft w:val="0"/>
                  <w:marRight w:val="0"/>
                  <w:marTop w:val="0"/>
                  <w:marBottom w:val="0"/>
                  <w:divBdr>
                    <w:top w:val="none" w:sz="0" w:space="0" w:color="auto"/>
                    <w:left w:val="none" w:sz="0" w:space="0" w:color="auto"/>
                    <w:bottom w:val="none" w:sz="0" w:space="0" w:color="auto"/>
                    <w:right w:val="none" w:sz="0" w:space="0" w:color="auto"/>
                  </w:divBdr>
                  <w:divsChild>
                    <w:div w:id="1086076294">
                      <w:marLeft w:val="0"/>
                      <w:marRight w:val="0"/>
                      <w:marTop w:val="0"/>
                      <w:marBottom w:val="0"/>
                      <w:divBdr>
                        <w:top w:val="none" w:sz="0" w:space="0" w:color="auto"/>
                        <w:left w:val="none" w:sz="0" w:space="0" w:color="auto"/>
                        <w:bottom w:val="none" w:sz="0" w:space="0" w:color="auto"/>
                        <w:right w:val="none" w:sz="0" w:space="0" w:color="auto"/>
                      </w:divBdr>
                    </w:div>
                  </w:divsChild>
                </w:div>
                <w:div w:id="57868628">
                  <w:marLeft w:val="0"/>
                  <w:marRight w:val="0"/>
                  <w:marTop w:val="0"/>
                  <w:marBottom w:val="0"/>
                  <w:divBdr>
                    <w:top w:val="none" w:sz="0" w:space="0" w:color="auto"/>
                    <w:left w:val="none" w:sz="0" w:space="0" w:color="auto"/>
                    <w:bottom w:val="none" w:sz="0" w:space="0" w:color="auto"/>
                    <w:right w:val="none" w:sz="0" w:space="0" w:color="auto"/>
                  </w:divBdr>
                  <w:divsChild>
                    <w:div w:id="380322170">
                      <w:marLeft w:val="0"/>
                      <w:marRight w:val="0"/>
                      <w:marTop w:val="0"/>
                      <w:marBottom w:val="0"/>
                      <w:divBdr>
                        <w:top w:val="none" w:sz="0" w:space="0" w:color="auto"/>
                        <w:left w:val="none" w:sz="0" w:space="0" w:color="auto"/>
                        <w:bottom w:val="none" w:sz="0" w:space="0" w:color="auto"/>
                        <w:right w:val="none" w:sz="0" w:space="0" w:color="auto"/>
                      </w:divBdr>
                    </w:div>
                  </w:divsChild>
                </w:div>
                <w:div w:id="1712995706">
                  <w:marLeft w:val="0"/>
                  <w:marRight w:val="0"/>
                  <w:marTop w:val="0"/>
                  <w:marBottom w:val="0"/>
                  <w:divBdr>
                    <w:top w:val="none" w:sz="0" w:space="0" w:color="auto"/>
                    <w:left w:val="none" w:sz="0" w:space="0" w:color="auto"/>
                    <w:bottom w:val="none" w:sz="0" w:space="0" w:color="auto"/>
                    <w:right w:val="none" w:sz="0" w:space="0" w:color="auto"/>
                  </w:divBdr>
                  <w:divsChild>
                    <w:div w:id="100414126">
                      <w:marLeft w:val="0"/>
                      <w:marRight w:val="0"/>
                      <w:marTop w:val="0"/>
                      <w:marBottom w:val="0"/>
                      <w:divBdr>
                        <w:top w:val="none" w:sz="0" w:space="0" w:color="auto"/>
                        <w:left w:val="none" w:sz="0" w:space="0" w:color="auto"/>
                        <w:bottom w:val="none" w:sz="0" w:space="0" w:color="auto"/>
                        <w:right w:val="none" w:sz="0" w:space="0" w:color="auto"/>
                      </w:divBdr>
                    </w:div>
                  </w:divsChild>
                </w:div>
                <w:div w:id="664633128">
                  <w:marLeft w:val="0"/>
                  <w:marRight w:val="0"/>
                  <w:marTop w:val="0"/>
                  <w:marBottom w:val="0"/>
                  <w:divBdr>
                    <w:top w:val="none" w:sz="0" w:space="0" w:color="auto"/>
                    <w:left w:val="none" w:sz="0" w:space="0" w:color="auto"/>
                    <w:bottom w:val="none" w:sz="0" w:space="0" w:color="auto"/>
                    <w:right w:val="none" w:sz="0" w:space="0" w:color="auto"/>
                  </w:divBdr>
                  <w:divsChild>
                    <w:div w:id="243299337">
                      <w:marLeft w:val="0"/>
                      <w:marRight w:val="0"/>
                      <w:marTop w:val="0"/>
                      <w:marBottom w:val="0"/>
                      <w:divBdr>
                        <w:top w:val="none" w:sz="0" w:space="0" w:color="auto"/>
                        <w:left w:val="none" w:sz="0" w:space="0" w:color="auto"/>
                        <w:bottom w:val="none" w:sz="0" w:space="0" w:color="auto"/>
                        <w:right w:val="none" w:sz="0" w:space="0" w:color="auto"/>
                      </w:divBdr>
                    </w:div>
                  </w:divsChild>
                </w:div>
                <w:div w:id="429668013">
                  <w:marLeft w:val="0"/>
                  <w:marRight w:val="0"/>
                  <w:marTop w:val="0"/>
                  <w:marBottom w:val="0"/>
                  <w:divBdr>
                    <w:top w:val="none" w:sz="0" w:space="0" w:color="auto"/>
                    <w:left w:val="none" w:sz="0" w:space="0" w:color="auto"/>
                    <w:bottom w:val="none" w:sz="0" w:space="0" w:color="auto"/>
                    <w:right w:val="none" w:sz="0" w:space="0" w:color="auto"/>
                  </w:divBdr>
                  <w:divsChild>
                    <w:div w:id="1154108288">
                      <w:marLeft w:val="0"/>
                      <w:marRight w:val="0"/>
                      <w:marTop w:val="0"/>
                      <w:marBottom w:val="0"/>
                      <w:divBdr>
                        <w:top w:val="none" w:sz="0" w:space="0" w:color="auto"/>
                        <w:left w:val="none" w:sz="0" w:space="0" w:color="auto"/>
                        <w:bottom w:val="none" w:sz="0" w:space="0" w:color="auto"/>
                        <w:right w:val="none" w:sz="0" w:space="0" w:color="auto"/>
                      </w:divBdr>
                    </w:div>
                  </w:divsChild>
                </w:div>
                <w:div w:id="849104204">
                  <w:marLeft w:val="0"/>
                  <w:marRight w:val="0"/>
                  <w:marTop w:val="0"/>
                  <w:marBottom w:val="0"/>
                  <w:divBdr>
                    <w:top w:val="none" w:sz="0" w:space="0" w:color="auto"/>
                    <w:left w:val="none" w:sz="0" w:space="0" w:color="auto"/>
                    <w:bottom w:val="none" w:sz="0" w:space="0" w:color="auto"/>
                    <w:right w:val="none" w:sz="0" w:space="0" w:color="auto"/>
                  </w:divBdr>
                  <w:divsChild>
                    <w:div w:id="3840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3437">
          <w:marLeft w:val="0"/>
          <w:marRight w:val="0"/>
          <w:marTop w:val="0"/>
          <w:marBottom w:val="0"/>
          <w:divBdr>
            <w:top w:val="none" w:sz="0" w:space="0" w:color="auto"/>
            <w:left w:val="none" w:sz="0" w:space="0" w:color="auto"/>
            <w:bottom w:val="none" w:sz="0" w:space="0" w:color="auto"/>
            <w:right w:val="none" w:sz="0" w:space="0" w:color="auto"/>
          </w:divBdr>
        </w:div>
        <w:div w:id="1675255865">
          <w:marLeft w:val="0"/>
          <w:marRight w:val="0"/>
          <w:marTop w:val="0"/>
          <w:marBottom w:val="0"/>
          <w:divBdr>
            <w:top w:val="none" w:sz="0" w:space="0" w:color="auto"/>
            <w:left w:val="none" w:sz="0" w:space="0" w:color="auto"/>
            <w:bottom w:val="none" w:sz="0" w:space="0" w:color="auto"/>
            <w:right w:val="none" w:sz="0" w:space="0" w:color="auto"/>
          </w:divBdr>
        </w:div>
        <w:div w:id="436952094">
          <w:marLeft w:val="0"/>
          <w:marRight w:val="0"/>
          <w:marTop w:val="0"/>
          <w:marBottom w:val="0"/>
          <w:divBdr>
            <w:top w:val="none" w:sz="0" w:space="0" w:color="auto"/>
            <w:left w:val="none" w:sz="0" w:space="0" w:color="auto"/>
            <w:bottom w:val="none" w:sz="0" w:space="0" w:color="auto"/>
            <w:right w:val="none" w:sz="0" w:space="0" w:color="auto"/>
          </w:divBdr>
          <w:divsChild>
            <w:div w:id="1084498977">
              <w:marLeft w:val="-75"/>
              <w:marRight w:val="0"/>
              <w:marTop w:val="30"/>
              <w:marBottom w:val="30"/>
              <w:divBdr>
                <w:top w:val="none" w:sz="0" w:space="0" w:color="auto"/>
                <w:left w:val="none" w:sz="0" w:space="0" w:color="auto"/>
                <w:bottom w:val="none" w:sz="0" w:space="0" w:color="auto"/>
                <w:right w:val="none" w:sz="0" w:space="0" w:color="auto"/>
              </w:divBdr>
              <w:divsChild>
                <w:div w:id="121122463">
                  <w:marLeft w:val="0"/>
                  <w:marRight w:val="0"/>
                  <w:marTop w:val="0"/>
                  <w:marBottom w:val="0"/>
                  <w:divBdr>
                    <w:top w:val="none" w:sz="0" w:space="0" w:color="auto"/>
                    <w:left w:val="none" w:sz="0" w:space="0" w:color="auto"/>
                    <w:bottom w:val="none" w:sz="0" w:space="0" w:color="auto"/>
                    <w:right w:val="none" w:sz="0" w:space="0" w:color="auto"/>
                  </w:divBdr>
                  <w:divsChild>
                    <w:div w:id="910194913">
                      <w:marLeft w:val="0"/>
                      <w:marRight w:val="0"/>
                      <w:marTop w:val="0"/>
                      <w:marBottom w:val="0"/>
                      <w:divBdr>
                        <w:top w:val="none" w:sz="0" w:space="0" w:color="auto"/>
                        <w:left w:val="none" w:sz="0" w:space="0" w:color="auto"/>
                        <w:bottom w:val="none" w:sz="0" w:space="0" w:color="auto"/>
                        <w:right w:val="none" w:sz="0" w:space="0" w:color="auto"/>
                      </w:divBdr>
                    </w:div>
                  </w:divsChild>
                </w:div>
                <w:div w:id="377357661">
                  <w:marLeft w:val="0"/>
                  <w:marRight w:val="0"/>
                  <w:marTop w:val="0"/>
                  <w:marBottom w:val="0"/>
                  <w:divBdr>
                    <w:top w:val="none" w:sz="0" w:space="0" w:color="auto"/>
                    <w:left w:val="none" w:sz="0" w:space="0" w:color="auto"/>
                    <w:bottom w:val="none" w:sz="0" w:space="0" w:color="auto"/>
                    <w:right w:val="none" w:sz="0" w:space="0" w:color="auto"/>
                  </w:divBdr>
                  <w:divsChild>
                    <w:div w:id="658846968">
                      <w:marLeft w:val="0"/>
                      <w:marRight w:val="0"/>
                      <w:marTop w:val="0"/>
                      <w:marBottom w:val="0"/>
                      <w:divBdr>
                        <w:top w:val="none" w:sz="0" w:space="0" w:color="auto"/>
                        <w:left w:val="none" w:sz="0" w:space="0" w:color="auto"/>
                        <w:bottom w:val="none" w:sz="0" w:space="0" w:color="auto"/>
                        <w:right w:val="none" w:sz="0" w:space="0" w:color="auto"/>
                      </w:divBdr>
                    </w:div>
                  </w:divsChild>
                </w:div>
                <w:div w:id="121310931">
                  <w:marLeft w:val="0"/>
                  <w:marRight w:val="0"/>
                  <w:marTop w:val="0"/>
                  <w:marBottom w:val="0"/>
                  <w:divBdr>
                    <w:top w:val="none" w:sz="0" w:space="0" w:color="auto"/>
                    <w:left w:val="none" w:sz="0" w:space="0" w:color="auto"/>
                    <w:bottom w:val="none" w:sz="0" w:space="0" w:color="auto"/>
                    <w:right w:val="none" w:sz="0" w:space="0" w:color="auto"/>
                  </w:divBdr>
                  <w:divsChild>
                    <w:div w:id="988169618">
                      <w:marLeft w:val="0"/>
                      <w:marRight w:val="0"/>
                      <w:marTop w:val="0"/>
                      <w:marBottom w:val="0"/>
                      <w:divBdr>
                        <w:top w:val="none" w:sz="0" w:space="0" w:color="auto"/>
                        <w:left w:val="none" w:sz="0" w:space="0" w:color="auto"/>
                        <w:bottom w:val="none" w:sz="0" w:space="0" w:color="auto"/>
                        <w:right w:val="none" w:sz="0" w:space="0" w:color="auto"/>
                      </w:divBdr>
                    </w:div>
                  </w:divsChild>
                </w:div>
                <w:div w:id="1603343949">
                  <w:marLeft w:val="0"/>
                  <w:marRight w:val="0"/>
                  <w:marTop w:val="0"/>
                  <w:marBottom w:val="0"/>
                  <w:divBdr>
                    <w:top w:val="none" w:sz="0" w:space="0" w:color="auto"/>
                    <w:left w:val="none" w:sz="0" w:space="0" w:color="auto"/>
                    <w:bottom w:val="none" w:sz="0" w:space="0" w:color="auto"/>
                    <w:right w:val="none" w:sz="0" w:space="0" w:color="auto"/>
                  </w:divBdr>
                  <w:divsChild>
                    <w:div w:id="1144547965">
                      <w:marLeft w:val="0"/>
                      <w:marRight w:val="0"/>
                      <w:marTop w:val="0"/>
                      <w:marBottom w:val="0"/>
                      <w:divBdr>
                        <w:top w:val="none" w:sz="0" w:space="0" w:color="auto"/>
                        <w:left w:val="none" w:sz="0" w:space="0" w:color="auto"/>
                        <w:bottom w:val="none" w:sz="0" w:space="0" w:color="auto"/>
                        <w:right w:val="none" w:sz="0" w:space="0" w:color="auto"/>
                      </w:divBdr>
                    </w:div>
                  </w:divsChild>
                </w:div>
                <w:div w:id="601960464">
                  <w:marLeft w:val="0"/>
                  <w:marRight w:val="0"/>
                  <w:marTop w:val="0"/>
                  <w:marBottom w:val="0"/>
                  <w:divBdr>
                    <w:top w:val="none" w:sz="0" w:space="0" w:color="auto"/>
                    <w:left w:val="none" w:sz="0" w:space="0" w:color="auto"/>
                    <w:bottom w:val="none" w:sz="0" w:space="0" w:color="auto"/>
                    <w:right w:val="none" w:sz="0" w:space="0" w:color="auto"/>
                  </w:divBdr>
                  <w:divsChild>
                    <w:div w:id="350841751">
                      <w:marLeft w:val="0"/>
                      <w:marRight w:val="0"/>
                      <w:marTop w:val="0"/>
                      <w:marBottom w:val="0"/>
                      <w:divBdr>
                        <w:top w:val="none" w:sz="0" w:space="0" w:color="auto"/>
                        <w:left w:val="none" w:sz="0" w:space="0" w:color="auto"/>
                        <w:bottom w:val="none" w:sz="0" w:space="0" w:color="auto"/>
                        <w:right w:val="none" w:sz="0" w:space="0" w:color="auto"/>
                      </w:divBdr>
                    </w:div>
                  </w:divsChild>
                </w:div>
                <w:div w:id="1032724544">
                  <w:marLeft w:val="0"/>
                  <w:marRight w:val="0"/>
                  <w:marTop w:val="0"/>
                  <w:marBottom w:val="0"/>
                  <w:divBdr>
                    <w:top w:val="none" w:sz="0" w:space="0" w:color="auto"/>
                    <w:left w:val="none" w:sz="0" w:space="0" w:color="auto"/>
                    <w:bottom w:val="none" w:sz="0" w:space="0" w:color="auto"/>
                    <w:right w:val="none" w:sz="0" w:space="0" w:color="auto"/>
                  </w:divBdr>
                  <w:divsChild>
                    <w:div w:id="1993018584">
                      <w:marLeft w:val="0"/>
                      <w:marRight w:val="0"/>
                      <w:marTop w:val="0"/>
                      <w:marBottom w:val="0"/>
                      <w:divBdr>
                        <w:top w:val="none" w:sz="0" w:space="0" w:color="auto"/>
                        <w:left w:val="none" w:sz="0" w:space="0" w:color="auto"/>
                        <w:bottom w:val="none" w:sz="0" w:space="0" w:color="auto"/>
                        <w:right w:val="none" w:sz="0" w:space="0" w:color="auto"/>
                      </w:divBdr>
                    </w:div>
                  </w:divsChild>
                </w:div>
                <w:div w:id="658923557">
                  <w:marLeft w:val="0"/>
                  <w:marRight w:val="0"/>
                  <w:marTop w:val="0"/>
                  <w:marBottom w:val="0"/>
                  <w:divBdr>
                    <w:top w:val="none" w:sz="0" w:space="0" w:color="auto"/>
                    <w:left w:val="none" w:sz="0" w:space="0" w:color="auto"/>
                    <w:bottom w:val="none" w:sz="0" w:space="0" w:color="auto"/>
                    <w:right w:val="none" w:sz="0" w:space="0" w:color="auto"/>
                  </w:divBdr>
                  <w:divsChild>
                    <w:div w:id="1327132447">
                      <w:marLeft w:val="0"/>
                      <w:marRight w:val="0"/>
                      <w:marTop w:val="0"/>
                      <w:marBottom w:val="0"/>
                      <w:divBdr>
                        <w:top w:val="none" w:sz="0" w:space="0" w:color="auto"/>
                        <w:left w:val="none" w:sz="0" w:space="0" w:color="auto"/>
                        <w:bottom w:val="none" w:sz="0" w:space="0" w:color="auto"/>
                        <w:right w:val="none" w:sz="0" w:space="0" w:color="auto"/>
                      </w:divBdr>
                    </w:div>
                  </w:divsChild>
                </w:div>
                <w:div w:id="479421147">
                  <w:marLeft w:val="0"/>
                  <w:marRight w:val="0"/>
                  <w:marTop w:val="0"/>
                  <w:marBottom w:val="0"/>
                  <w:divBdr>
                    <w:top w:val="none" w:sz="0" w:space="0" w:color="auto"/>
                    <w:left w:val="none" w:sz="0" w:space="0" w:color="auto"/>
                    <w:bottom w:val="none" w:sz="0" w:space="0" w:color="auto"/>
                    <w:right w:val="none" w:sz="0" w:space="0" w:color="auto"/>
                  </w:divBdr>
                  <w:divsChild>
                    <w:div w:id="261694927">
                      <w:marLeft w:val="0"/>
                      <w:marRight w:val="0"/>
                      <w:marTop w:val="0"/>
                      <w:marBottom w:val="0"/>
                      <w:divBdr>
                        <w:top w:val="none" w:sz="0" w:space="0" w:color="auto"/>
                        <w:left w:val="none" w:sz="0" w:space="0" w:color="auto"/>
                        <w:bottom w:val="none" w:sz="0" w:space="0" w:color="auto"/>
                        <w:right w:val="none" w:sz="0" w:space="0" w:color="auto"/>
                      </w:divBdr>
                    </w:div>
                  </w:divsChild>
                </w:div>
                <w:div w:id="2143647297">
                  <w:marLeft w:val="0"/>
                  <w:marRight w:val="0"/>
                  <w:marTop w:val="0"/>
                  <w:marBottom w:val="0"/>
                  <w:divBdr>
                    <w:top w:val="none" w:sz="0" w:space="0" w:color="auto"/>
                    <w:left w:val="none" w:sz="0" w:space="0" w:color="auto"/>
                    <w:bottom w:val="none" w:sz="0" w:space="0" w:color="auto"/>
                    <w:right w:val="none" w:sz="0" w:space="0" w:color="auto"/>
                  </w:divBdr>
                </w:div>
                <w:div w:id="737170646">
                  <w:marLeft w:val="0"/>
                  <w:marRight w:val="0"/>
                  <w:marTop w:val="0"/>
                  <w:marBottom w:val="0"/>
                  <w:divBdr>
                    <w:top w:val="none" w:sz="0" w:space="0" w:color="auto"/>
                    <w:left w:val="none" w:sz="0" w:space="0" w:color="auto"/>
                    <w:bottom w:val="none" w:sz="0" w:space="0" w:color="auto"/>
                    <w:right w:val="none" w:sz="0" w:space="0" w:color="auto"/>
                  </w:divBdr>
                </w:div>
                <w:div w:id="16953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0321">
      <w:bodyDiv w:val="1"/>
      <w:marLeft w:val="0"/>
      <w:marRight w:val="0"/>
      <w:marTop w:val="0"/>
      <w:marBottom w:val="0"/>
      <w:divBdr>
        <w:top w:val="none" w:sz="0" w:space="0" w:color="auto"/>
        <w:left w:val="none" w:sz="0" w:space="0" w:color="auto"/>
        <w:bottom w:val="none" w:sz="0" w:space="0" w:color="auto"/>
        <w:right w:val="none" w:sz="0" w:space="0" w:color="auto"/>
      </w:divBdr>
    </w:div>
    <w:div w:id="1046444306">
      <w:bodyDiv w:val="1"/>
      <w:marLeft w:val="0"/>
      <w:marRight w:val="0"/>
      <w:marTop w:val="0"/>
      <w:marBottom w:val="0"/>
      <w:divBdr>
        <w:top w:val="none" w:sz="0" w:space="0" w:color="auto"/>
        <w:left w:val="none" w:sz="0" w:space="0" w:color="auto"/>
        <w:bottom w:val="none" w:sz="0" w:space="0" w:color="auto"/>
        <w:right w:val="none" w:sz="0" w:space="0" w:color="auto"/>
      </w:divBdr>
    </w:div>
    <w:div w:id="1145314121">
      <w:bodyDiv w:val="1"/>
      <w:marLeft w:val="0"/>
      <w:marRight w:val="0"/>
      <w:marTop w:val="0"/>
      <w:marBottom w:val="0"/>
      <w:divBdr>
        <w:top w:val="none" w:sz="0" w:space="0" w:color="auto"/>
        <w:left w:val="none" w:sz="0" w:space="0" w:color="auto"/>
        <w:bottom w:val="none" w:sz="0" w:space="0" w:color="auto"/>
        <w:right w:val="none" w:sz="0" w:space="0" w:color="auto"/>
      </w:divBdr>
    </w:div>
    <w:div w:id="1190873930">
      <w:bodyDiv w:val="1"/>
      <w:marLeft w:val="0"/>
      <w:marRight w:val="0"/>
      <w:marTop w:val="0"/>
      <w:marBottom w:val="0"/>
      <w:divBdr>
        <w:top w:val="none" w:sz="0" w:space="0" w:color="auto"/>
        <w:left w:val="none" w:sz="0" w:space="0" w:color="auto"/>
        <w:bottom w:val="none" w:sz="0" w:space="0" w:color="auto"/>
        <w:right w:val="none" w:sz="0" w:space="0" w:color="auto"/>
      </w:divBdr>
      <w:divsChild>
        <w:div w:id="1459102923">
          <w:marLeft w:val="0"/>
          <w:marRight w:val="0"/>
          <w:marTop w:val="0"/>
          <w:marBottom w:val="0"/>
          <w:divBdr>
            <w:top w:val="none" w:sz="0" w:space="0" w:color="auto"/>
            <w:left w:val="none" w:sz="0" w:space="0" w:color="auto"/>
            <w:bottom w:val="none" w:sz="0" w:space="0" w:color="auto"/>
            <w:right w:val="none" w:sz="0" w:space="0" w:color="auto"/>
          </w:divBdr>
          <w:divsChild>
            <w:div w:id="1246111415">
              <w:marLeft w:val="0"/>
              <w:marRight w:val="0"/>
              <w:marTop w:val="0"/>
              <w:marBottom w:val="0"/>
              <w:divBdr>
                <w:top w:val="none" w:sz="0" w:space="0" w:color="auto"/>
                <w:left w:val="none" w:sz="0" w:space="0" w:color="auto"/>
                <w:bottom w:val="none" w:sz="0" w:space="0" w:color="auto"/>
                <w:right w:val="none" w:sz="0" w:space="0" w:color="auto"/>
              </w:divBdr>
            </w:div>
          </w:divsChild>
        </w:div>
        <w:div w:id="503515749">
          <w:marLeft w:val="0"/>
          <w:marRight w:val="0"/>
          <w:marTop w:val="0"/>
          <w:marBottom w:val="0"/>
          <w:divBdr>
            <w:top w:val="none" w:sz="0" w:space="0" w:color="auto"/>
            <w:left w:val="none" w:sz="0" w:space="0" w:color="auto"/>
            <w:bottom w:val="none" w:sz="0" w:space="0" w:color="auto"/>
            <w:right w:val="none" w:sz="0" w:space="0" w:color="auto"/>
          </w:divBdr>
          <w:divsChild>
            <w:div w:id="486676649">
              <w:marLeft w:val="0"/>
              <w:marRight w:val="0"/>
              <w:marTop w:val="0"/>
              <w:marBottom w:val="0"/>
              <w:divBdr>
                <w:top w:val="none" w:sz="0" w:space="0" w:color="auto"/>
                <w:left w:val="none" w:sz="0" w:space="0" w:color="auto"/>
                <w:bottom w:val="none" w:sz="0" w:space="0" w:color="auto"/>
                <w:right w:val="none" w:sz="0" w:space="0" w:color="auto"/>
              </w:divBdr>
            </w:div>
          </w:divsChild>
        </w:div>
        <w:div w:id="996302314">
          <w:marLeft w:val="0"/>
          <w:marRight w:val="0"/>
          <w:marTop w:val="0"/>
          <w:marBottom w:val="0"/>
          <w:divBdr>
            <w:top w:val="none" w:sz="0" w:space="0" w:color="auto"/>
            <w:left w:val="none" w:sz="0" w:space="0" w:color="auto"/>
            <w:bottom w:val="none" w:sz="0" w:space="0" w:color="auto"/>
            <w:right w:val="none" w:sz="0" w:space="0" w:color="auto"/>
          </w:divBdr>
          <w:divsChild>
            <w:div w:id="1387797624">
              <w:marLeft w:val="0"/>
              <w:marRight w:val="0"/>
              <w:marTop w:val="0"/>
              <w:marBottom w:val="0"/>
              <w:divBdr>
                <w:top w:val="none" w:sz="0" w:space="0" w:color="auto"/>
                <w:left w:val="none" w:sz="0" w:space="0" w:color="auto"/>
                <w:bottom w:val="none" w:sz="0" w:space="0" w:color="auto"/>
                <w:right w:val="none" w:sz="0" w:space="0" w:color="auto"/>
              </w:divBdr>
            </w:div>
          </w:divsChild>
        </w:div>
        <w:div w:id="452746378">
          <w:marLeft w:val="0"/>
          <w:marRight w:val="0"/>
          <w:marTop w:val="0"/>
          <w:marBottom w:val="0"/>
          <w:divBdr>
            <w:top w:val="none" w:sz="0" w:space="0" w:color="auto"/>
            <w:left w:val="none" w:sz="0" w:space="0" w:color="auto"/>
            <w:bottom w:val="none" w:sz="0" w:space="0" w:color="auto"/>
            <w:right w:val="none" w:sz="0" w:space="0" w:color="auto"/>
          </w:divBdr>
          <w:divsChild>
            <w:div w:id="287316684">
              <w:marLeft w:val="0"/>
              <w:marRight w:val="0"/>
              <w:marTop w:val="0"/>
              <w:marBottom w:val="0"/>
              <w:divBdr>
                <w:top w:val="none" w:sz="0" w:space="0" w:color="auto"/>
                <w:left w:val="none" w:sz="0" w:space="0" w:color="auto"/>
                <w:bottom w:val="none" w:sz="0" w:space="0" w:color="auto"/>
                <w:right w:val="none" w:sz="0" w:space="0" w:color="auto"/>
              </w:divBdr>
            </w:div>
          </w:divsChild>
        </w:div>
        <w:div w:id="1847941454">
          <w:marLeft w:val="0"/>
          <w:marRight w:val="0"/>
          <w:marTop w:val="0"/>
          <w:marBottom w:val="0"/>
          <w:divBdr>
            <w:top w:val="none" w:sz="0" w:space="0" w:color="auto"/>
            <w:left w:val="none" w:sz="0" w:space="0" w:color="auto"/>
            <w:bottom w:val="none" w:sz="0" w:space="0" w:color="auto"/>
            <w:right w:val="none" w:sz="0" w:space="0" w:color="auto"/>
          </w:divBdr>
          <w:divsChild>
            <w:div w:id="756898388">
              <w:marLeft w:val="0"/>
              <w:marRight w:val="0"/>
              <w:marTop w:val="0"/>
              <w:marBottom w:val="0"/>
              <w:divBdr>
                <w:top w:val="none" w:sz="0" w:space="0" w:color="auto"/>
                <w:left w:val="none" w:sz="0" w:space="0" w:color="auto"/>
                <w:bottom w:val="none" w:sz="0" w:space="0" w:color="auto"/>
                <w:right w:val="none" w:sz="0" w:space="0" w:color="auto"/>
              </w:divBdr>
            </w:div>
          </w:divsChild>
        </w:div>
        <w:div w:id="1003320933">
          <w:marLeft w:val="0"/>
          <w:marRight w:val="0"/>
          <w:marTop w:val="0"/>
          <w:marBottom w:val="0"/>
          <w:divBdr>
            <w:top w:val="none" w:sz="0" w:space="0" w:color="auto"/>
            <w:left w:val="none" w:sz="0" w:space="0" w:color="auto"/>
            <w:bottom w:val="none" w:sz="0" w:space="0" w:color="auto"/>
            <w:right w:val="none" w:sz="0" w:space="0" w:color="auto"/>
          </w:divBdr>
          <w:divsChild>
            <w:div w:id="547569056">
              <w:marLeft w:val="0"/>
              <w:marRight w:val="0"/>
              <w:marTop w:val="0"/>
              <w:marBottom w:val="0"/>
              <w:divBdr>
                <w:top w:val="none" w:sz="0" w:space="0" w:color="auto"/>
                <w:left w:val="none" w:sz="0" w:space="0" w:color="auto"/>
                <w:bottom w:val="none" w:sz="0" w:space="0" w:color="auto"/>
                <w:right w:val="none" w:sz="0" w:space="0" w:color="auto"/>
              </w:divBdr>
            </w:div>
          </w:divsChild>
        </w:div>
        <w:div w:id="1288270573">
          <w:marLeft w:val="0"/>
          <w:marRight w:val="0"/>
          <w:marTop w:val="0"/>
          <w:marBottom w:val="0"/>
          <w:divBdr>
            <w:top w:val="none" w:sz="0" w:space="0" w:color="auto"/>
            <w:left w:val="none" w:sz="0" w:space="0" w:color="auto"/>
            <w:bottom w:val="none" w:sz="0" w:space="0" w:color="auto"/>
            <w:right w:val="none" w:sz="0" w:space="0" w:color="auto"/>
          </w:divBdr>
          <w:divsChild>
            <w:div w:id="583998938">
              <w:marLeft w:val="0"/>
              <w:marRight w:val="0"/>
              <w:marTop w:val="0"/>
              <w:marBottom w:val="0"/>
              <w:divBdr>
                <w:top w:val="none" w:sz="0" w:space="0" w:color="auto"/>
                <w:left w:val="none" w:sz="0" w:space="0" w:color="auto"/>
                <w:bottom w:val="none" w:sz="0" w:space="0" w:color="auto"/>
                <w:right w:val="none" w:sz="0" w:space="0" w:color="auto"/>
              </w:divBdr>
            </w:div>
          </w:divsChild>
        </w:div>
        <w:div w:id="1063137967">
          <w:marLeft w:val="0"/>
          <w:marRight w:val="0"/>
          <w:marTop w:val="0"/>
          <w:marBottom w:val="0"/>
          <w:divBdr>
            <w:top w:val="none" w:sz="0" w:space="0" w:color="auto"/>
            <w:left w:val="none" w:sz="0" w:space="0" w:color="auto"/>
            <w:bottom w:val="none" w:sz="0" w:space="0" w:color="auto"/>
            <w:right w:val="none" w:sz="0" w:space="0" w:color="auto"/>
          </w:divBdr>
          <w:divsChild>
            <w:div w:id="196361345">
              <w:marLeft w:val="0"/>
              <w:marRight w:val="0"/>
              <w:marTop w:val="0"/>
              <w:marBottom w:val="0"/>
              <w:divBdr>
                <w:top w:val="none" w:sz="0" w:space="0" w:color="auto"/>
                <w:left w:val="none" w:sz="0" w:space="0" w:color="auto"/>
                <w:bottom w:val="none" w:sz="0" w:space="0" w:color="auto"/>
                <w:right w:val="none" w:sz="0" w:space="0" w:color="auto"/>
              </w:divBdr>
            </w:div>
          </w:divsChild>
        </w:div>
        <w:div w:id="405611026">
          <w:marLeft w:val="0"/>
          <w:marRight w:val="0"/>
          <w:marTop w:val="0"/>
          <w:marBottom w:val="0"/>
          <w:divBdr>
            <w:top w:val="none" w:sz="0" w:space="0" w:color="auto"/>
            <w:left w:val="none" w:sz="0" w:space="0" w:color="auto"/>
            <w:bottom w:val="none" w:sz="0" w:space="0" w:color="auto"/>
            <w:right w:val="none" w:sz="0" w:space="0" w:color="auto"/>
          </w:divBdr>
          <w:divsChild>
            <w:div w:id="32582286">
              <w:marLeft w:val="0"/>
              <w:marRight w:val="0"/>
              <w:marTop w:val="0"/>
              <w:marBottom w:val="0"/>
              <w:divBdr>
                <w:top w:val="none" w:sz="0" w:space="0" w:color="auto"/>
                <w:left w:val="none" w:sz="0" w:space="0" w:color="auto"/>
                <w:bottom w:val="none" w:sz="0" w:space="0" w:color="auto"/>
                <w:right w:val="none" w:sz="0" w:space="0" w:color="auto"/>
              </w:divBdr>
            </w:div>
          </w:divsChild>
        </w:div>
        <w:div w:id="14040931">
          <w:marLeft w:val="0"/>
          <w:marRight w:val="0"/>
          <w:marTop w:val="0"/>
          <w:marBottom w:val="0"/>
          <w:divBdr>
            <w:top w:val="none" w:sz="0" w:space="0" w:color="auto"/>
            <w:left w:val="none" w:sz="0" w:space="0" w:color="auto"/>
            <w:bottom w:val="none" w:sz="0" w:space="0" w:color="auto"/>
            <w:right w:val="none" w:sz="0" w:space="0" w:color="auto"/>
          </w:divBdr>
          <w:divsChild>
            <w:div w:id="665940026">
              <w:marLeft w:val="0"/>
              <w:marRight w:val="0"/>
              <w:marTop w:val="0"/>
              <w:marBottom w:val="0"/>
              <w:divBdr>
                <w:top w:val="none" w:sz="0" w:space="0" w:color="auto"/>
                <w:left w:val="none" w:sz="0" w:space="0" w:color="auto"/>
                <w:bottom w:val="none" w:sz="0" w:space="0" w:color="auto"/>
                <w:right w:val="none" w:sz="0" w:space="0" w:color="auto"/>
              </w:divBdr>
            </w:div>
          </w:divsChild>
        </w:div>
        <w:div w:id="351615474">
          <w:marLeft w:val="0"/>
          <w:marRight w:val="0"/>
          <w:marTop w:val="0"/>
          <w:marBottom w:val="0"/>
          <w:divBdr>
            <w:top w:val="none" w:sz="0" w:space="0" w:color="auto"/>
            <w:left w:val="none" w:sz="0" w:space="0" w:color="auto"/>
            <w:bottom w:val="none" w:sz="0" w:space="0" w:color="auto"/>
            <w:right w:val="none" w:sz="0" w:space="0" w:color="auto"/>
          </w:divBdr>
          <w:divsChild>
            <w:div w:id="1570506159">
              <w:marLeft w:val="0"/>
              <w:marRight w:val="0"/>
              <w:marTop w:val="0"/>
              <w:marBottom w:val="0"/>
              <w:divBdr>
                <w:top w:val="none" w:sz="0" w:space="0" w:color="auto"/>
                <w:left w:val="none" w:sz="0" w:space="0" w:color="auto"/>
                <w:bottom w:val="none" w:sz="0" w:space="0" w:color="auto"/>
                <w:right w:val="none" w:sz="0" w:space="0" w:color="auto"/>
              </w:divBdr>
            </w:div>
          </w:divsChild>
        </w:div>
        <w:div w:id="733167583">
          <w:marLeft w:val="0"/>
          <w:marRight w:val="0"/>
          <w:marTop w:val="0"/>
          <w:marBottom w:val="0"/>
          <w:divBdr>
            <w:top w:val="none" w:sz="0" w:space="0" w:color="auto"/>
            <w:left w:val="none" w:sz="0" w:space="0" w:color="auto"/>
            <w:bottom w:val="none" w:sz="0" w:space="0" w:color="auto"/>
            <w:right w:val="none" w:sz="0" w:space="0" w:color="auto"/>
          </w:divBdr>
          <w:divsChild>
            <w:div w:id="219243568">
              <w:marLeft w:val="0"/>
              <w:marRight w:val="0"/>
              <w:marTop w:val="0"/>
              <w:marBottom w:val="0"/>
              <w:divBdr>
                <w:top w:val="none" w:sz="0" w:space="0" w:color="auto"/>
                <w:left w:val="none" w:sz="0" w:space="0" w:color="auto"/>
                <w:bottom w:val="none" w:sz="0" w:space="0" w:color="auto"/>
                <w:right w:val="none" w:sz="0" w:space="0" w:color="auto"/>
              </w:divBdr>
            </w:div>
          </w:divsChild>
        </w:div>
        <w:div w:id="827282714">
          <w:marLeft w:val="0"/>
          <w:marRight w:val="0"/>
          <w:marTop w:val="0"/>
          <w:marBottom w:val="0"/>
          <w:divBdr>
            <w:top w:val="none" w:sz="0" w:space="0" w:color="auto"/>
            <w:left w:val="none" w:sz="0" w:space="0" w:color="auto"/>
            <w:bottom w:val="none" w:sz="0" w:space="0" w:color="auto"/>
            <w:right w:val="none" w:sz="0" w:space="0" w:color="auto"/>
          </w:divBdr>
          <w:divsChild>
            <w:div w:id="1904870842">
              <w:marLeft w:val="0"/>
              <w:marRight w:val="0"/>
              <w:marTop w:val="0"/>
              <w:marBottom w:val="0"/>
              <w:divBdr>
                <w:top w:val="none" w:sz="0" w:space="0" w:color="auto"/>
                <w:left w:val="none" w:sz="0" w:space="0" w:color="auto"/>
                <w:bottom w:val="none" w:sz="0" w:space="0" w:color="auto"/>
                <w:right w:val="none" w:sz="0" w:space="0" w:color="auto"/>
              </w:divBdr>
            </w:div>
          </w:divsChild>
        </w:div>
        <w:div w:id="156192107">
          <w:marLeft w:val="0"/>
          <w:marRight w:val="0"/>
          <w:marTop w:val="0"/>
          <w:marBottom w:val="0"/>
          <w:divBdr>
            <w:top w:val="none" w:sz="0" w:space="0" w:color="auto"/>
            <w:left w:val="none" w:sz="0" w:space="0" w:color="auto"/>
            <w:bottom w:val="none" w:sz="0" w:space="0" w:color="auto"/>
            <w:right w:val="none" w:sz="0" w:space="0" w:color="auto"/>
          </w:divBdr>
          <w:divsChild>
            <w:div w:id="1578859679">
              <w:marLeft w:val="0"/>
              <w:marRight w:val="0"/>
              <w:marTop w:val="0"/>
              <w:marBottom w:val="0"/>
              <w:divBdr>
                <w:top w:val="none" w:sz="0" w:space="0" w:color="auto"/>
                <w:left w:val="none" w:sz="0" w:space="0" w:color="auto"/>
                <w:bottom w:val="none" w:sz="0" w:space="0" w:color="auto"/>
                <w:right w:val="none" w:sz="0" w:space="0" w:color="auto"/>
              </w:divBdr>
            </w:div>
          </w:divsChild>
        </w:div>
        <w:div w:id="1321620005">
          <w:marLeft w:val="0"/>
          <w:marRight w:val="0"/>
          <w:marTop w:val="0"/>
          <w:marBottom w:val="0"/>
          <w:divBdr>
            <w:top w:val="none" w:sz="0" w:space="0" w:color="auto"/>
            <w:left w:val="none" w:sz="0" w:space="0" w:color="auto"/>
            <w:bottom w:val="none" w:sz="0" w:space="0" w:color="auto"/>
            <w:right w:val="none" w:sz="0" w:space="0" w:color="auto"/>
          </w:divBdr>
          <w:divsChild>
            <w:div w:id="4367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8016">
      <w:bodyDiv w:val="1"/>
      <w:marLeft w:val="0"/>
      <w:marRight w:val="0"/>
      <w:marTop w:val="0"/>
      <w:marBottom w:val="0"/>
      <w:divBdr>
        <w:top w:val="none" w:sz="0" w:space="0" w:color="auto"/>
        <w:left w:val="none" w:sz="0" w:space="0" w:color="auto"/>
        <w:bottom w:val="none" w:sz="0" w:space="0" w:color="auto"/>
        <w:right w:val="none" w:sz="0" w:space="0" w:color="auto"/>
      </w:divBdr>
    </w:div>
    <w:div w:id="1296526743">
      <w:bodyDiv w:val="1"/>
      <w:marLeft w:val="0"/>
      <w:marRight w:val="0"/>
      <w:marTop w:val="0"/>
      <w:marBottom w:val="0"/>
      <w:divBdr>
        <w:top w:val="none" w:sz="0" w:space="0" w:color="auto"/>
        <w:left w:val="none" w:sz="0" w:space="0" w:color="auto"/>
        <w:bottom w:val="none" w:sz="0" w:space="0" w:color="auto"/>
        <w:right w:val="none" w:sz="0" w:space="0" w:color="auto"/>
      </w:divBdr>
    </w:div>
    <w:div w:id="1392802473">
      <w:bodyDiv w:val="1"/>
      <w:marLeft w:val="0"/>
      <w:marRight w:val="0"/>
      <w:marTop w:val="0"/>
      <w:marBottom w:val="0"/>
      <w:divBdr>
        <w:top w:val="none" w:sz="0" w:space="0" w:color="auto"/>
        <w:left w:val="none" w:sz="0" w:space="0" w:color="auto"/>
        <w:bottom w:val="none" w:sz="0" w:space="0" w:color="auto"/>
        <w:right w:val="none" w:sz="0" w:space="0" w:color="auto"/>
      </w:divBdr>
      <w:divsChild>
        <w:div w:id="1120145665">
          <w:marLeft w:val="0"/>
          <w:marRight w:val="0"/>
          <w:marTop w:val="0"/>
          <w:marBottom w:val="0"/>
          <w:divBdr>
            <w:top w:val="none" w:sz="0" w:space="0" w:color="auto"/>
            <w:left w:val="none" w:sz="0" w:space="0" w:color="auto"/>
            <w:bottom w:val="none" w:sz="0" w:space="0" w:color="auto"/>
            <w:right w:val="none" w:sz="0" w:space="0" w:color="auto"/>
          </w:divBdr>
          <w:divsChild>
            <w:div w:id="1154179407">
              <w:marLeft w:val="0"/>
              <w:marRight w:val="0"/>
              <w:marTop w:val="0"/>
              <w:marBottom w:val="0"/>
              <w:divBdr>
                <w:top w:val="none" w:sz="0" w:space="0" w:color="auto"/>
                <w:left w:val="none" w:sz="0" w:space="0" w:color="auto"/>
                <w:bottom w:val="none" w:sz="0" w:space="0" w:color="auto"/>
                <w:right w:val="none" w:sz="0" w:space="0" w:color="auto"/>
              </w:divBdr>
            </w:div>
          </w:divsChild>
        </w:div>
        <w:div w:id="955066632">
          <w:marLeft w:val="0"/>
          <w:marRight w:val="0"/>
          <w:marTop w:val="0"/>
          <w:marBottom w:val="0"/>
          <w:divBdr>
            <w:top w:val="none" w:sz="0" w:space="0" w:color="auto"/>
            <w:left w:val="none" w:sz="0" w:space="0" w:color="auto"/>
            <w:bottom w:val="none" w:sz="0" w:space="0" w:color="auto"/>
            <w:right w:val="none" w:sz="0" w:space="0" w:color="auto"/>
          </w:divBdr>
          <w:divsChild>
            <w:div w:id="1897010629">
              <w:marLeft w:val="0"/>
              <w:marRight w:val="0"/>
              <w:marTop w:val="0"/>
              <w:marBottom w:val="0"/>
              <w:divBdr>
                <w:top w:val="none" w:sz="0" w:space="0" w:color="auto"/>
                <w:left w:val="none" w:sz="0" w:space="0" w:color="auto"/>
                <w:bottom w:val="none" w:sz="0" w:space="0" w:color="auto"/>
                <w:right w:val="none" w:sz="0" w:space="0" w:color="auto"/>
              </w:divBdr>
            </w:div>
          </w:divsChild>
        </w:div>
        <w:div w:id="1517959282">
          <w:marLeft w:val="0"/>
          <w:marRight w:val="0"/>
          <w:marTop w:val="0"/>
          <w:marBottom w:val="0"/>
          <w:divBdr>
            <w:top w:val="none" w:sz="0" w:space="0" w:color="auto"/>
            <w:left w:val="none" w:sz="0" w:space="0" w:color="auto"/>
            <w:bottom w:val="none" w:sz="0" w:space="0" w:color="auto"/>
            <w:right w:val="none" w:sz="0" w:space="0" w:color="auto"/>
          </w:divBdr>
          <w:divsChild>
            <w:div w:id="667098333">
              <w:marLeft w:val="0"/>
              <w:marRight w:val="0"/>
              <w:marTop w:val="0"/>
              <w:marBottom w:val="0"/>
              <w:divBdr>
                <w:top w:val="none" w:sz="0" w:space="0" w:color="auto"/>
                <w:left w:val="none" w:sz="0" w:space="0" w:color="auto"/>
                <w:bottom w:val="none" w:sz="0" w:space="0" w:color="auto"/>
                <w:right w:val="none" w:sz="0" w:space="0" w:color="auto"/>
              </w:divBdr>
            </w:div>
          </w:divsChild>
        </w:div>
        <w:div w:id="577054892">
          <w:marLeft w:val="0"/>
          <w:marRight w:val="0"/>
          <w:marTop w:val="0"/>
          <w:marBottom w:val="0"/>
          <w:divBdr>
            <w:top w:val="none" w:sz="0" w:space="0" w:color="auto"/>
            <w:left w:val="none" w:sz="0" w:space="0" w:color="auto"/>
            <w:bottom w:val="none" w:sz="0" w:space="0" w:color="auto"/>
            <w:right w:val="none" w:sz="0" w:space="0" w:color="auto"/>
          </w:divBdr>
          <w:divsChild>
            <w:div w:id="14501747">
              <w:marLeft w:val="0"/>
              <w:marRight w:val="0"/>
              <w:marTop w:val="0"/>
              <w:marBottom w:val="0"/>
              <w:divBdr>
                <w:top w:val="none" w:sz="0" w:space="0" w:color="auto"/>
                <w:left w:val="none" w:sz="0" w:space="0" w:color="auto"/>
                <w:bottom w:val="none" w:sz="0" w:space="0" w:color="auto"/>
                <w:right w:val="none" w:sz="0" w:space="0" w:color="auto"/>
              </w:divBdr>
            </w:div>
          </w:divsChild>
        </w:div>
        <w:div w:id="1855261677">
          <w:marLeft w:val="0"/>
          <w:marRight w:val="0"/>
          <w:marTop w:val="0"/>
          <w:marBottom w:val="0"/>
          <w:divBdr>
            <w:top w:val="none" w:sz="0" w:space="0" w:color="auto"/>
            <w:left w:val="none" w:sz="0" w:space="0" w:color="auto"/>
            <w:bottom w:val="none" w:sz="0" w:space="0" w:color="auto"/>
            <w:right w:val="none" w:sz="0" w:space="0" w:color="auto"/>
          </w:divBdr>
          <w:divsChild>
            <w:div w:id="1530295113">
              <w:marLeft w:val="0"/>
              <w:marRight w:val="0"/>
              <w:marTop w:val="0"/>
              <w:marBottom w:val="0"/>
              <w:divBdr>
                <w:top w:val="none" w:sz="0" w:space="0" w:color="auto"/>
                <w:left w:val="none" w:sz="0" w:space="0" w:color="auto"/>
                <w:bottom w:val="none" w:sz="0" w:space="0" w:color="auto"/>
                <w:right w:val="none" w:sz="0" w:space="0" w:color="auto"/>
              </w:divBdr>
            </w:div>
          </w:divsChild>
        </w:div>
        <w:div w:id="493299171">
          <w:marLeft w:val="0"/>
          <w:marRight w:val="0"/>
          <w:marTop w:val="0"/>
          <w:marBottom w:val="0"/>
          <w:divBdr>
            <w:top w:val="none" w:sz="0" w:space="0" w:color="auto"/>
            <w:left w:val="none" w:sz="0" w:space="0" w:color="auto"/>
            <w:bottom w:val="none" w:sz="0" w:space="0" w:color="auto"/>
            <w:right w:val="none" w:sz="0" w:space="0" w:color="auto"/>
          </w:divBdr>
          <w:divsChild>
            <w:div w:id="269096165">
              <w:marLeft w:val="0"/>
              <w:marRight w:val="0"/>
              <w:marTop w:val="0"/>
              <w:marBottom w:val="0"/>
              <w:divBdr>
                <w:top w:val="none" w:sz="0" w:space="0" w:color="auto"/>
                <w:left w:val="none" w:sz="0" w:space="0" w:color="auto"/>
                <w:bottom w:val="none" w:sz="0" w:space="0" w:color="auto"/>
                <w:right w:val="none" w:sz="0" w:space="0" w:color="auto"/>
              </w:divBdr>
            </w:div>
          </w:divsChild>
        </w:div>
        <w:div w:id="1671591789">
          <w:marLeft w:val="0"/>
          <w:marRight w:val="0"/>
          <w:marTop w:val="0"/>
          <w:marBottom w:val="0"/>
          <w:divBdr>
            <w:top w:val="none" w:sz="0" w:space="0" w:color="auto"/>
            <w:left w:val="none" w:sz="0" w:space="0" w:color="auto"/>
            <w:bottom w:val="none" w:sz="0" w:space="0" w:color="auto"/>
            <w:right w:val="none" w:sz="0" w:space="0" w:color="auto"/>
          </w:divBdr>
          <w:divsChild>
            <w:div w:id="2108960260">
              <w:marLeft w:val="0"/>
              <w:marRight w:val="0"/>
              <w:marTop w:val="0"/>
              <w:marBottom w:val="0"/>
              <w:divBdr>
                <w:top w:val="none" w:sz="0" w:space="0" w:color="auto"/>
                <w:left w:val="none" w:sz="0" w:space="0" w:color="auto"/>
                <w:bottom w:val="none" w:sz="0" w:space="0" w:color="auto"/>
                <w:right w:val="none" w:sz="0" w:space="0" w:color="auto"/>
              </w:divBdr>
            </w:div>
          </w:divsChild>
        </w:div>
        <w:div w:id="450247763">
          <w:marLeft w:val="0"/>
          <w:marRight w:val="0"/>
          <w:marTop w:val="0"/>
          <w:marBottom w:val="0"/>
          <w:divBdr>
            <w:top w:val="none" w:sz="0" w:space="0" w:color="auto"/>
            <w:left w:val="none" w:sz="0" w:space="0" w:color="auto"/>
            <w:bottom w:val="none" w:sz="0" w:space="0" w:color="auto"/>
            <w:right w:val="none" w:sz="0" w:space="0" w:color="auto"/>
          </w:divBdr>
          <w:divsChild>
            <w:div w:id="1224759603">
              <w:marLeft w:val="0"/>
              <w:marRight w:val="0"/>
              <w:marTop w:val="0"/>
              <w:marBottom w:val="0"/>
              <w:divBdr>
                <w:top w:val="none" w:sz="0" w:space="0" w:color="auto"/>
                <w:left w:val="none" w:sz="0" w:space="0" w:color="auto"/>
                <w:bottom w:val="none" w:sz="0" w:space="0" w:color="auto"/>
                <w:right w:val="none" w:sz="0" w:space="0" w:color="auto"/>
              </w:divBdr>
            </w:div>
          </w:divsChild>
        </w:div>
        <w:div w:id="881593477">
          <w:marLeft w:val="0"/>
          <w:marRight w:val="0"/>
          <w:marTop w:val="0"/>
          <w:marBottom w:val="0"/>
          <w:divBdr>
            <w:top w:val="none" w:sz="0" w:space="0" w:color="auto"/>
            <w:left w:val="none" w:sz="0" w:space="0" w:color="auto"/>
            <w:bottom w:val="none" w:sz="0" w:space="0" w:color="auto"/>
            <w:right w:val="none" w:sz="0" w:space="0" w:color="auto"/>
          </w:divBdr>
          <w:divsChild>
            <w:div w:id="1215046236">
              <w:marLeft w:val="0"/>
              <w:marRight w:val="0"/>
              <w:marTop w:val="0"/>
              <w:marBottom w:val="0"/>
              <w:divBdr>
                <w:top w:val="none" w:sz="0" w:space="0" w:color="auto"/>
                <w:left w:val="none" w:sz="0" w:space="0" w:color="auto"/>
                <w:bottom w:val="none" w:sz="0" w:space="0" w:color="auto"/>
                <w:right w:val="none" w:sz="0" w:space="0" w:color="auto"/>
              </w:divBdr>
            </w:div>
          </w:divsChild>
        </w:div>
        <w:div w:id="1606183174">
          <w:marLeft w:val="0"/>
          <w:marRight w:val="0"/>
          <w:marTop w:val="0"/>
          <w:marBottom w:val="0"/>
          <w:divBdr>
            <w:top w:val="none" w:sz="0" w:space="0" w:color="auto"/>
            <w:left w:val="none" w:sz="0" w:space="0" w:color="auto"/>
            <w:bottom w:val="none" w:sz="0" w:space="0" w:color="auto"/>
            <w:right w:val="none" w:sz="0" w:space="0" w:color="auto"/>
          </w:divBdr>
          <w:divsChild>
            <w:div w:id="1317566658">
              <w:marLeft w:val="0"/>
              <w:marRight w:val="0"/>
              <w:marTop w:val="0"/>
              <w:marBottom w:val="0"/>
              <w:divBdr>
                <w:top w:val="none" w:sz="0" w:space="0" w:color="auto"/>
                <w:left w:val="none" w:sz="0" w:space="0" w:color="auto"/>
                <w:bottom w:val="none" w:sz="0" w:space="0" w:color="auto"/>
                <w:right w:val="none" w:sz="0" w:space="0" w:color="auto"/>
              </w:divBdr>
            </w:div>
          </w:divsChild>
        </w:div>
        <w:div w:id="771897209">
          <w:marLeft w:val="0"/>
          <w:marRight w:val="0"/>
          <w:marTop w:val="0"/>
          <w:marBottom w:val="0"/>
          <w:divBdr>
            <w:top w:val="none" w:sz="0" w:space="0" w:color="auto"/>
            <w:left w:val="none" w:sz="0" w:space="0" w:color="auto"/>
            <w:bottom w:val="none" w:sz="0" w:space="0" w:color="auto"/>
            <w:right w:val="none" w:sz="0" w:space="0" w:color="auto"/>
          </w:divBdr>
          <w:divsChild>
            <w:div w:id="580337056">
              <w:marLeft w:val="0"/>
              <w:marRight w:val="0"/>
              <w:marTop w:val="0"/>
              <w:marBottom w:val="0"/>
              <w:divBdr>
                <w:top w:val="none" w:sz="0" w:space="0" w:color="auto"/>
                <w:left w:val="none" w:sz="0" w:space="0" w:color="auto"/>
                <w:bottom w:val="none" w:sz="0" w:space="0" w:color="auto"/>
                <w:right w:val="none" w:sz="0" w:space="0" w:color="auto"/>
              </w:divBdr>
            </w:div>
          </w:divsChild>
        </w:div>
        <w:div w:id="178276569">
          <w:marLeft w:val="0"/>
          <w:marRight w:val="0"/>
          <w:marTop w:val="0"/>
          <w:marBottom w:val="0"/>
          <w:divBdr>
            <w:top w:val="none" w:sz="0" w:space="0" w:color="auto"/>
            <w:left w:val="none" w:sz="0" w:space="0" w:color="auto"/>
            <w:bottom w:val="none" w:sz="0" w:space="0" w:color="auto"/>
            <w:right w:val="none" w:sz="0" w:space="0" w:color="auto"/>
          </w:divBdr>
          <w:divsChild>
            <w:div w:id="1085372755">
              <w:marLeft w:val="0"/>
              <w:marRight w:val="0"/>
              <w:marTop w:val="0"/>
              <w:marBottom w:val="0"/>
              <w:divBdr>
                <w:top w:val="none" w:sz="0" w:space="0" w:color="auto"/>
                <w:left w:val="none" w:sz="0" w:space="0" w:color="auto"/>
                <w:bottom w:val="none" w:sz="0" w:space="0" w:color="auto"/>
                <w:right w:val="none" w:sz="0" w:space="0" w:color="auto"/>
              </w:divBdr>
            </w:div>
          </w:divsChild>
        </w:div>
        <w:div w:id="1369185202">
          <w:marLeft w:val="0"/>
          <w:marRight w:val="0"/>
          <w:marTop w:val="0"/>
          <w:marBottom w:val="0"/>
          <w:divBdr>
            <w:top w:val="none" w:sz="0" w:space="0" w:color="auto"/>
            <w:left w:val="none" w:sz="0" w:space="0" w:color="auto"/>
            <w:bottom w:val="none" w:sz="0" w:space="0" w:color="auto"/>
            <w:right w:val="none" w:sz="0" w:space="0" w:color="auto"/>
          </w:divBdr>
          <w:divsChild>
            <w:div w:id="1358658080">
              <w:marLeft w:val="0"/>
              <w:marRight w:val="0"/>
              <w:marTop w:val="0"/>
              <w:marBottom w:val="0"/>
              <w:divBdr>
                <w:top w:val="none" w:sz="0" w:space="0" w:color="auto"/>
                <w:left w:val="none" w:sz="0" w:space="0" w:color="auto"/>
                <w:bottom w:val="none" w:sz="0" w:space="0" w:color="auto"/>
                <w:right w:val="none" w:sz="0" w:space="0" w:color="auto"/>
              </w:divBdr>
            </w:div>
          </w:divsChild>
        </w:div>
        <w:div w:id="1093628493">
          <w:marLeft w:val="0"/>
          <w:marRight w:val="0"/>
          <w:marTop w:val="0"/>
          <w:marBottom w:val="0"/>
          <w:divBdr>
            <w:top w:val="none" w:sz="0" w:space="0" w:color="auto"/>
            <w:left w:val="none" w:sz="0" w:space="0" w:color="auto"/>
            <w:bottom w:val="none" w:sz="0" w:space="0" w:color="auto"/>
            <w:right w:val="none" w:sz="0" w:space="0" w:color="auto"/>
          </w:divBdr>
          <w:divsChild>
            <w:div w:id="488178256">
              <w:marLeft w:val="0"/>
              <w:marRight w:val="0"/>
              <w:marTop w:val="0"/>
              <w:marBottom w:val="0"/>
              <w:divBdr>
                <w:top w:val="none" w:sz="0" w:space="0" w:color="auto"/>
                <w:left w:val="none" w:sz="0" w:space="0" w:color="auto"/>
                <w:bottom w:val="none" w:sz="0" w:space="0" w:color="auto"/>
                <w:right w:val="none" w:sz="0" w:space="0" w:color="auto"/>
              </w:divBdr>
            </w:div>
          </w:divsChild>
        </w:div>
        <w:div w:id="509486853">
          <w:marLeft w:val="0"/>
          <w:marRight w:val="0"/>
          <w:marTop w:val="0"/>
          <w:marBottom w:val="0"/>
          <w:divBdr>
            <w:top w:val="none" w:sz="0" w:space="0" w:color="auto"/>
            <w:left w:val="none" w:sz="0" w:space="0" w:color="auto"/>
            <w:bottom w:val="none" w:sz="0" w:space="0" w:color="auto"/>
            <w:right w:val="none" w:sz="0" w:space="0" w:color="auto"/>
          </w:divBdr>
          <w:divsChild>
            <w:div w:id="463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130">
      <w:bodyDiv w:val="1"/>
      <w:marLeft w:val="0"/>
      <w:marRight w:val="0"/>
      <w:marTop w:val="0"/>
      <w:marBottom w:val="0"/>
      <w:divBdr>
        <w:top w:val="none" w:sz="0" w:space="0" w:color="auto"/>
        <w:left w:val="none" w:sz="0" w:space="0" w:color="auto"/>
        <w:bottom w:val="none" w:sz="0" w:space="0" w:color="auto"/>
        <w:right w:val="none" w:sz="0" w:space="0" w:color="auto"/>
      </w:divBdr>
      <w:divsChild>
        <w:div w:id="1170369676">
          <w:marLeft w:val="0"/>
          <w:marRight w:val="0"/>
          <w:marTop w:val="0"/>
          <w:marBottom w:val="0"/>
          <w:divBdr>
            <w:top w:val="none" w:sz="0" w:space="0" w:color="auto"/>
            <w:left w:val="none" w:sz="0" w:space="0" w:color="auto"/>
            <w:bottom w:val="none" w:sz="0" w:space="0" w:color="auto"/>
            <w:right w:val="none" w:sz="0" w:space="0" w:color="auto"/>
          </w:divBdr>
          <w:divsChild>
            <w:div w:id="1400664841">
              <w:marLeft w:val="0"/>
              <w:marRight w:val="0"/>
              <w:marTop w:val="0"/>
              <w:marBottom w:val="0"/>
              <w:divBdr>
                <w:top w:val="none" w:sz="0" w:space="0" w:color="auto"/>
                <w:left w:val="none" w:sz="0" w:space="0" w:color="auto"/>
                <w:bottom w:val="none" w:sz="0" w:space="0" w:color="auto"/>
                <w:right w:val="none" w:sz="0" w:space="0" w:color="auto"/>
              </w:divBdr>
              <w:divsChild>
                <w:div w:id="1900480208">
                  <w:marLeft w:val="0"/>
                  <w:marRight w:val="0"/>
                  <w:marTop w:val="0"/>
                  <w:marBottom w:val="0"/>
                  <w:divBdr>
                    <w:top w:val="none" w:sz="0" w:space="0" w:color="auto"/>
                    <w:left w:val="none" w:sz="0" w:space="0" w:color="auto"/>
                    <w:bottom w:val="none" w:sz="0" w:space="0" w:color="auto"/>
                    <w:right w:val="none" w:sz="0" w:space="0" w:color="auto"/>
                  </w:divBdr>
                  <w:divsChild>
                    <w:div w:id="2504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100315">
      <w:bodyDiv w:val="1"/>
      <w:marLeft w:val="0"/>
      <w:marRight w:val="0"/>
      <w:marTop w:val="0"/>
      <w:marBottom w:val="0"/>
      <w:divBdr>
        <w:top w:val="none" w:sz="0" w:space="0" w:color="auto"/>
        <w:left w:val="none" w:sz="0" w:space="0" w:color="auto"/>
        <w:bottom w:val="none" w:sz="0" w:space="0" w:color="auto"/>
        <w:right w:val="none" w:sz="0" w:space="0" w:color="auto"/>
      </w:divBdr>
    </w:div>
    <w:div w:id="1649826155">
      <w:bodyDiv w:val="1"/>
      <w:marLeft w:val="0"/>
      <w:marRight w:val="0"/>
      <w:marTop w:val="0"/>
      <w:marBottom w:val="0"/>
      <w:divBdr>
        <w:top w:val="none" w:sz="0" w:space="0" w:color="auto"/>
        <w:left w:val="none" w:sz="0" w:space="0" w:color="auto"/>
        <w:bottom w:val="none" w:sz="0" w:space="0" w:color="auto"/>
        <w:right w:val="none" w:sz="0" w:space="0" w:color="auto"/>
      </w:divBdr>
    </w:div>
    <w:div w:id="1834027888">
      <w:bodyDiv w:val="1"/>
      <w:marLeft w:val="0"/>
      <w:marRight w:val="0"/>
      <w:marTop w:val="0"/>
      <w:marBottom w:val="0"/>
      <w:divBdr>
        <w:top w:val="none" w:sz="0" w:space="0" w:color="auto"/>
        <w:left w:val="none" w:sz="0" w:space="0" w:color="auto"/>
        <w:bottom w:val="none" w:sz="0" w:space="0" w:color="auto"/>
        <w:right w:val="none" w:sz="0" w:space="0" w:color="auto"/>
      </w:divBdr>
    </w:div>
    <w:div w:id="1864586060">
      <w:bodyDiv w:val="1"/>
      <w:marLeft w:val="0"/>
      <w:marRight w:val="0"/>
      <w:marTop w:val="0"/>
      <w:marBottom w:val="0"/>
      <w:divBdr>
        <w:top w:val="none" w:sz="0" w:space="0" w:color="auto"/>
        <w:left w:val="none" w:sz="0" w:space="0" w:color="auto"/>
        <w:bottom w:val="none" w:sz="0" w:space="0" w:color="auto"/>
        <w:right w:val="none" w:sz="0" w:space="0" w:color="auto"/>
      </w:divBdr>
    </w:div>
    <w:div w:id="1895190382">
      <w:bodyDiv w:val="1"/>
      <w:marLeft w:val="0"/>
      <w:marRight w:val="0"/>
      <w:marTop w:val="0"/>
      <w:marBottom w:val="0"/>
      <w:divBdr>
        <w:top w:val="none" w:sz="0" w:space="0" w:color="auto"/>
        <w:left w:val="none" w:sz="0" w:space="0" w:color="auto"/>
        <w:bottom w:val="none" w:sz="0" w:space="0" w:color="auto"/>
        <w:right w:val="none" w:sz="0" w:space="0" w:color="auto"/>
      </w:divBdr>
    </w:div>
    <w:div w:id="20117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uejaym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jaymin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3" ma:contentTypeDescription="Create a new document." ma:contentTypeScope="" ma:versionID="b7b2196a1922e65d47d01c1572d7561b">
  <xsd:schema xmlns:xsd="http://www.w3.org/2001/XMLSchema" xmlns:xs="http://www.w3.org/2001/XMLSchema" xmlns:p="http://schemas.microsoft.com/office/2006/metadata/properties" xmlns:ns2="a136a894-403f-4652-b82d-ed898be378e9" xmlns:ns3="3ee7dc1d-bc53-49eb-9bc6-bd2698f56e8c" targetNamespace="http://schemas.microsoft.com/office/2006/metadata/properties" ma:root="true" ma:fieldsID="cc035cb3fa5b4405250c0f96dd63a718" ns2:_="" ns3:_="">
    <xsd:import namespace="a136a894-403f-4652-b82d-ed898be378e9"/>
    <xsd:import namespace="3ee7dc1d-bc53-49eb-9bc6-bd2698f56e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C5BE6-9F04-4066-94EC-C3ADDDF0C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EE991-446A-41EC-AC3B-864DB8B028E4}">
  <ds:schemaRefs>
    <ds:schemaRef ds:uri="http://schemas.microsoft.com/sharepoint/v3/contenttype/forms"/>
  </ds:schemaRefs>
</ds:datastoreItem>
</file>

<file path=customXml/itemProps3.xml><?xml version="1.0" encoding="utf-8"?>
<ds:datastoreItem xmlns:ds="http://schemas.openxmlformats.org/officeDocument/2006/customXml" ds:itemID="{7957024D-F474-492C-9C03-018219D95CB3}">
  <ds:schemaRefs>
    <ds:schemaRef ds:uri="http://schemas.openxmlformats.org/officeDocument/2006/bibliography"/>
  </ds:schemaRefs>
</ds:datastoreItem>
</file>

<file path=customXml/itemProps4.xml><?xml version="1.0" encoding="utf-8"?>
<ds:datastoreItem xmlns:ds="http://schemas.openxmlformats.org/officeDocument/2006/customXml" ds:itemID="{FA6E2B9D-D755-4756-8D62-35FAF08A3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6a894-403f-4652-b82d-ed898be378e9"/>
    <ds:schemaRef ds:uri="3ee7dc1d-bc53-49eb-9bc6-bd2698f56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Registered number: 05315929</vt:lpstr>
    </vt:vector>
  </TitlesOfParts>
  <Company>Littlejohn Frazer</Company>
  <LinksUpToDate>false</LinksUpToDate>
  <CharactersWithSpaces>31783</CharactersWithSpaces>
  <SharedDoc>false</SharedDoc>
  <HLinks>
    <vt:vector size="12" baseType="variant">
      <vt:variant>
        <vt:i4>458784</vt:i4>
      </vt:variant>
      <vt:variant>
        <vt:i4>3</vt:i4>
      </vt:variant>
      <vt:variant>
        <vt:i4>0</vt:i4>
      </vt:variant>
      <vt:variant>
        <vt:i4>5</vt:i4>
      </vt:variant>
      <vt:variant>
        <vt:lpwstr>http://www.alectominerals.com</vt:lpwstr>
      </vt:variant>
      <vt:variant>
        <vt:lpwstr/>
      </vt:variant>
      <vt:variant>
        <vt:i4>458784</vt:i4>
      </vt:variant>
      <vt:variant>
        <vt:i4>0</vt:i4>
      </vt:variant>
      <vt:variant>
        <vt:i4>0</vt:i4>
      </vt:variant>
      <vt:variant>
        <vt:i4>5</vt:i4>
      </vt:variant>
      <vt:variant>
        <vt:lpwstr>http://www.alectominerals.com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number: 05315929</dc:title>
  <dc:subject/>
  <dc:creator>Greg Kuenzel</dc:creator>
  <cp:keywords/>
  <dc:description/>
  <cp:lastModifiedBy>Nastasha Bracko</cp:lastModifiedBy>
  <cp:revision>28</cp:revision>
  <cp:lastPrinted>2022-09-13T09:15:00Z</cp:lastPrinted>
  <dcterms:created xsi:type="dcterms:W3CDTF">2022-09-09T16:58:00Z</dcterms:created>
  <dcterms:modified xsi:type="dcterms:W3CDTF">2022-09-22T08:33:00Z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ies>
</file>